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AutoHyphens/>
        <w:kinsoku/>
        <w:wordWrap/>
        <w:overflowPunct/>
        <w:topLinePunct w:val="0"/>
        <w:autoSpaceDE/>
        <w:autoSpaceDN/>
        <w:bidi w:val="0"/>
        <w:adjustRightInd/>
        <w:snapToGrid/>
        <w:spacing w:line="580" w:lineRule="exact"/>
        <w:ind w:left="0" w:leftChars="0" w:right="0" w:rightChars="0" w:firstLine="0" w:firstLineChars="0"/>
        <w:jc w:val="left"/>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suppressAutoHyphens/>
        <w:kinsoku/>
        <w:wordWrap/>
        <w:overflowPunct/>
        <w:topLinePunct w:val="0"/>
        <w:autoSpaceDE/>
        <w:autoSpaceDN/>
        <w:bidi w:val="0"/>
        <w:adjustRightInd/>
        <w:snapToGrid/>
        <w:spacing w:line="580" w:lineRule="exact"/>
        <w:ind w:left="0" w:leftChars="0" w:right="0" w:rightChars="0" w:firstLine="0" w:firstLineChars="0"/>
        <w:jc w:val="center"/>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重点监管事项清单</w:t>
      </w:r>
    </w:p>
    <w:p>
      <w:pPr>
        <w:keepNext w:val="0"/>
        <w:keepLines w:val="0"/>
        <w:pageBreakBefore w:val="0"/>
        <w:widowControl w:val="0"/>
        <w:suppressAutoHyphens/>
        <w:kinsoku/>
        <w:wordWrap/>
        <w:overflowPunct/>
        <w:topLinePunct w:val="0"/>
        <w:autoSpaceDE/>
        <w:autoSpaceDN/>
        <w:bidi w:val="0"/>
        <w:adjustRightInd/>
        <w:snapToGrid/>
        <w:spacing w:line="580" w:lineRule="exact"/>
        <w:ind w:left="0" w:leftChars="0" w:right="0" w:rightChars="0" w:firstLine="0" w:firstLineChars="0"/>
        <w:textAlignment w:val="auto"/>
        <w:outlineLvl w:val="9"/>
        <w:rPr>
          <w:rFonts w:hint="default"/>
          <w:color w:val="auto"/>
          <w:sz w:val="28"/>
          <w:szCs w:val="28"/>
          <w:lang w:val="en-US" w:eastAsia="zh"/>
        </w:rPr>
      </w:pPr>
      <w:r>
        <w:rPr>
          <w:rFonts w:hint="eastAsia"/>
          <w:color w:val="auto"/>
          <w:sz w:val="28"/>
          <w:szCs w:val="28"/>
          <w:lang w:val="en-US" w:eastAsia="zh-CN"/>
        </w:rPr>
        <w:t>单位（公章）：鄂尔多斯市住房和城乡建设局</w:t>
      </w:r>
    </w:p>
    <w:tbl>
      <w:tblPr>
        <w:tblStyle w:val="3"/>
        <w:tblW w:w="15216" w:type="dxa"/>
        <w:tblInd w:w="-4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6"/>
        <w:gridCol w:w="1117"/>
        <w:gridCol w:w="1150"/>
        <w:gridCol w:w="1183"/>
        <w:gridCol w:w="1134"/>
        <w:gridCol w:w="8333"/>
        <w:gridCol w:w="717"/>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序号</w:t>
            </w:r>
          </w:p>
        </w:tc>
        <w:tc>
          <w:tcPr>
            <w:tcW w:w="226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监管项目</w:t>
            </w:r>
          </w:p>
        </w:tc>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检查对象</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监管方式</w:t>
            </w:r>
          </w:p>
        </w:tc>
        <w:tc>
          <w:tcPr>
            <w:tcW w:w="833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监管依据</w:t>
            </w:r>
          </w:p>
        </w:tc>
        <w:tc>
          <w:tcPr>
            <w:tcW w:w="71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监管主体</w:t>
            </w:r>
          </w:p>
        </w:tc>
        <w:tc>
          <w:tcPr>
            <w:tcW w:w="8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default"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outlineLvl w:val="9"/>
              <w:rPr>
                <w:rFonts w:hint="default" w:ascii="黑体" w:hAnsi="宋体" w:eastAsia="黑体" w:cs="黑体"/>
                <w:i w:val="0"/>
                <w:color w:val="000000"/>
                <w:sz w:val="22"/>
                <w:szCs w:val="22"/>
                <w:u w:val="none"/>
              </w:rPr>
            </w:pP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监管类别</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default" w:ascii="黑体" w:hAnsi="宋体" w:eastAsia="黑体" w:cs="黑体"/>
                <w:i w:val="0"/>
                <w:color w:val="000000"/>
                <w:sz w:val="22"/>
                <w:szCs w:val="22"/>
                <w:u w:val="none"/>
              </w:rPr>
            </w:pPr>
            <w:r>
              <w:rPr>
                <w:rFonts w:hint="default" w:ascii="黑体" w:hAnsi="宋体" w:eastAsia="黑体" w:cs="黑体"/>
                <w:i w:val="0"/>
                <w:color w:val="000000"/>
                <w:kern w:val="0"/>
                <w:sz w:val="22"/>
                <w:szCs w:val="22"/>
                <w:u w:val="none"/>
                <w:lang w:val="en-US" w:eastAsia="zh-CN" w:bidi="ar"/>
              </w:rPr>
              <w:t>监管事项</w:t>
            </w: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outlineLvl w:val="9"/>
              <w:rPr>
                <w:rFonts w:hint="default" w:ascii="黑体" w:hAnsi="宋体" w:eastAsia="黑体" w:cs="黑体"/>
                <w:i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outlineLvl w:val="9"/>
              <w:rPr>
                <w:rFonts w:hint="default" w:ascii="黑体" w:hAnsi="宋体" w:eastAsia="黑体" w:cs="黑体"/>
                <w:i w:val="0"/>
                <w:color w:val="000000"/>
                <w:sz w:val="22"/>
                <w:szCs w:val="22"/>
                <w:u w:val="none"/>
              </w:rPr>
            </w:pPr>
          </w:p>
        </w:tc>
        <w:tc>
          <w:tcPr>
            <w:tcW w:w="83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outlineLvl w:val="9"/>
              <w:rPr>
                <w:rFonts w:hint="default" w:ascii="黑体" w:hAnsi="宋体" w:eastAsia="黑体" w:cs="黑体"/>
                <w:i w:val="0"/>
                <w:color w:val="000000"/>
                <w:sz w:val="22"/>
                <w:szCs w:val="22"/>
                <w:u w:val="none"/>
              </w:rPr>
            </w:pPr>
          </w:p>
        </w:tc>
        <w:tc>
          <w:tcPr>
            <w:tcW w:w="71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outlineLvl w:val="9"/>
              <w:rPr>
                <w:rFonts w:hint="default" w:ascii="黑体" w:hAnsi="宋体" w:eastAsia="黑体" w:cs="黑体"/>
                <w:i w:val="0"/>
                <w:color w:val="000000"/>
                <w:sz w:val="22"/>
                <w:szCs w:val="22"/>
                <w:u w:val="none"/>
              </w:rPr>
            </w:pPr>
          </w:p>
        </w:tc>
        <w:tc>
          <w:tcPr>
            <w:tcW w:w="8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center"/>
              <w:outlineLvl w:val="9"/>
              <w:rPr>
                <w:rFonts w:hint="default"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22"/>
                <w:szCs w:val="22"/>
                <w:u w:val="none"/>
                <w:lang w:val="en-US" w:eastAsia="zh-CN" w:bidi="ar"/>
              </w:rPr>
              <w:t>工程质量监督检查</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22"/>
                <w:szCs w:val="22"/>
                <w:u w:val="none"/>
                <w:lang w:val="en-US" w:eastAsia="zh-CN" w:bidi="ar"/>
              </w:rPr>
              <w:t>全区房屋建筑和市政基础设施工程质量监督执法检查</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22"/>
                <w:szCs w:val="22"/>
                <w:u w:val="none"/>
                <w:lang w:val="en-US" w:eastAsia="zh-CN" w:bidi="ar"/>
              </w:rPr>
              <w:t>工程建设单位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现场检查、书面检查、</w:t>
            </w:r>
            <w:r>
              <w:rPr>
                <w:rFonts w:hint="eastAsia" w:ascii="宋体" w:hAnsi="宋体" w:cs="宋体"/>
                <w:i w:val="0"/>
                <w:color w:val="000000"/>
                <w:kern w:val="0"/>
                <w:sz w:val="22"/>
                <w:szCs w:val="22"/>
                <w:u w:val="none"/>
                <w:lang w:val="en-US" w:eastAsia="zh-CN" w:bidi="ar"/>
              </w:rPr>
              <w:t>抽样检验、资料审查</w:t>
            </w:r>
            <w:r>
              <w:rPr>
                <w:rFonts w:hint="eastAsia" w:ascii="宋体" w:hAnsi="宋体" w:eastAsia="宋体" w:cs="宋体"/>
                <w:i w:val="0"/>
                <w:color w:val="000000"/>
                <w:kern w:val="0"/>
                <w:sz w:val="22"/>
                <w:szCs w:val="22"/>
                <w:u w:val="none"/>
                <w:lang w:val="en-US" w:eastAsia="zh-CN" w:bidi="ar"/>
              </w:rPr>
              <w:t>等方式</w:t>
            </w:r>
          </w:p>
        </w:tc>
        <w:tc>
          <w:tcPr>
            <w:tcW w:w="8333"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widowControl/>
              <w:numPr>
                <w:ilvl w:val="0"/>
                <w:numId w:val="0"/>
              </w:numPr>
              <w:suppressLineNumbers w:val="0"/>
              <w:spacing w:line="21" w:lineRule="atLeast"/>
              <w:ind w:right="-226" w:rightChars="0"/>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一、《建设工程质量管理条例》</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第四十六条  建设工程质量监督管理，可以由建设行政主管部门或者其他有关部门委托的建设工程质量</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监督机构具体实施。</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从事房屋建筑工程和市政基础设施工程质量监督的机构，必须按照国家有关规定经国务院建设行政主管</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部门或者省、自治区、直辖市人民政府建设行政主管部门考核；从事专业建设工程质量监督的机构，</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必须按照国家有关规定经国务院有关部门或者省、自治区、直辖市人民政府有关部门考核。经考核合格</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后，方可实施质量监督。</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第四十八条 县级以上人民政府建设行政主管部门和其他有关部门履行监督检查职责时，有权采取下列</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措施：（（一）要求被检查的单位提供有关工程质量的文件和资料； （（二）进入被检查单位的施工现场进行检查；（三）发现有影响工程质量的问题时，责令改正。</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二、《中华人民共和国安全生产法》第五十六条  负有安全生产监督管理职责的部门依法对生产经营</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单位执行有关安全生产的法律、法规和国家标准或者行业标准的情况进行监督检查。</w:t>
            </w:r>
            <w:r>
              <w:rPr>
                <w:rFonts w:hint="eastAsia" w:ascii="宋体" w:hAnsi="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《建设工程安全生产管理条例》（中华人民共和国国务院令第 393号，自2004年2月1日起施行）</w:t>
            </w:r>
            <w:r>
              <w:rPr>
                <w:rFonts w:hint="eastAsia" w:ascii="宋体" w:hAnsi="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第四十条 国务院建设行政主管部门对全国的建设工程安全生产实施监督管理。国务院铁路、交通</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、水利等有关部门按照国务院规定的职责分工，负责有关专业建设工程安全生产的监督管理。 　　</w:t>
            </w:r>
            <w:r>
              <w:rPr>
                <w:rFonts w:hint="eastAsia" w:ascii="宋体" w:hAnsi="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县级以上地方人民政府建设行政主管部门对本行政区域内的建设工程安全生产实施监督管理。县级</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以上地方人民政府交通、水利等有关部门在各自的职责范围内，负责本行政区域内的专业建设工程安</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全生产的监督管理。</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《建筑起重机械安全监督管理规定》（住建部令第166号，,自2008年6月1日起施行）</w:t>
            </w:r>
            <w:r>
              <w:rPr>
                <w:rFonts w:hint="eastAsia" w:ascii="宋体" w:hAnsi="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第三条 国务院建设主管部门对全国建筑起重机械的租赁、安装、拆卸、使用实施监督管理。 县级</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以上地方人民政府建设主管部门对本行政区域内的建筑起重机械的租赁、安装、拆卸、使用实施监督</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管理。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default" w:ascii="宋体" w:hAnsi="宋体" w:cs="宋体"/>
                <w:i w:val="0"/>
                <w:color w:val="000000"/>
                <w:kern w:val="0"/>
                <w:sz w:val="18"/>
                <w:szCs w:val="18"/>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22"/>
                <w:szCs w:val="22"/>
                <w:u w:val="none"/>
                <w:lang w:val="en-US" w:eastAsia="zh-CN" w:bidi="ar"/>
              </w:rPr>
              <w:t>住房和城乡建设局</w:t>
            </w:r>
          </w:p>
        </w:tc>
        <w:tc>
          <w:tcPr>
            <w:tcW w:w="8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sz w:val="18"/>
                <w:szCs w:val="18"/>
                <w:u w:val="none"/>
              </w:rPr>
            </w:pPr>
            <w:r>
              <w:rPr>
                <w:rFonts w:hint="eastAsia" w:ascii="宋体" w:hAnsi="宋体" w:cs="宋体"/>
                <w:i w:val="0"/>
                <w:color w:val="000000"/>
                <w:kern w:val="0"/>
                <w:sz w:val="22"/>
                <w:szCs w:val="22"/>
                <w:u w:val="none"/>
                <w:lang w:val="en-US" w:eastAsia="zh-CN" w:bidi="ar"/>
              </w:rPr>
              <w:t>全区房屋建筑和市政基础设施工程质量监督执法检查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outlineLvl w:val="9"/>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燃气经营生产监管</w:t>
            </w:r>
          </w:p>
        </w:tc>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left"/>
              <w:outlineLvl w:val="9"/>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对燃气企业安全运行监督执法检查</w:t>
            </w:r>
          </w:p>
        </w:tc>
        <w:tc>
          <w:tcPr>
            <w:tcW w:w="11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left"/>
              <w:textAlignment w:val="center"/>
              <w:outlineLvl w:val="9"/>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燃气企业</w:t>
            </w:r>
          </w:p>
        </w:tc>
        <w:tc>
          <w:tcPr>
            <w:tcW w:w="113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left"/>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现场检查、书面检查</w:t>
            </w:r>
            <w:r>
              <w:rPr>
                <w:rFonts w:hint="eastAsia" w:ascii="宋体" w:hAnsi="宋体" w:cs="宋体"/>
                <w:i w:val="0"/>
                <w:color w:val="000000"/>
                <w:kern w:val="0"/>
                <w:sz w:val="22"/>
                <w:szCs w:val="22"/>
                <w:u w:val="none"/>
                <w:lang w:val="en-US" w:eastAsia="zh-CN" w:bidi="ar"/>
              </w:rPr>
              <w:t>、资料审查</w:t>
            </w:r>
            <w:r>
              <w:rPr>
                <w:rFonts w:hint="eastAsia" w:ascii="宋体" w:hAnsi="宋体" w:eastAsia="宋体" w:cs="宋体"/>
                <w:i w:val="0"/>
                <w:color w:val="000000"/>
                <w:kern w:val="0"/>
                <w:sz w:val="22"/>
                <w:szCs w:val="22"/>
                <w:u w:val="none"/>
                <w:lang w:val="en-US" w:eastAsia="zh-CN" w:bidi="ar"/>
              </w:rPr>
              <w:t>等方式</w:t>
            </w:r>
          </w:p>
        </w:tc>
        <w:tc>
          <w:tcPr>
            <w:tcW w:w="8333"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《城镇燃气管理条例》（中华人民共和国</w:t>
            </w:r>
            <w:bookmarkStart w:id="0" w:name="_GoBack"/>
            <w:bookmarkEnd w:id="0"/>
            <w:r>
              <w:rPr>
                <w:rFonts w:hint="eastAsia" w:ascii="宋体" w:hAnsi="宋体" w:cs="宋体"/>
                <w:i w:val="0"/>
                <w:color w:val="000000"/>
                <w:kern w:val="0"/>
                <w:sz w:val="18"/>
                <w:szCs w:val="18"/>
                <w:u w:val="none"/>
                <w:lang w:val="en-US" w:eastAsia="zh-CN" w:bidi="ar"/>
              </w:rPr>
              <w:t>国务院令 第583号）</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第五条国务院建设主管部门负责全国的燃气管理工作。</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县级以上地方人民政府燃气管理部门负责本行政区域内的燃气管理工作。</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第四十一条 燃气经营者应当建立健全燃气安全评估和风险管理体系，发现燃气安全事故隐患的，应当</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 xml:space="preserve">及时采取措施消除隐患。 </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燃气管理部门以及其他有关部门和单位应当根据各自职责，对燃气经营、燃气使用的安全状况等进行监</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督检查，发现燃气安全事故隐患的，应当通知燃气经营者、燃气用户及时采取措施消除隐患；不及时消</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除隐患可能严重威胁公共安全的，燃气管理部门以及其他有关部门和单位应当依法采取措施，及时组织</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消除隐患，有关单位和个人应当予以配合。</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《内蒙古自治区燃气管理条例》（2007年9月29日内蒙古自治区第十届人民代表大会常务委员会第三</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十次会议通过</w:t>
            </w:r>
            <w:r>
              <w:rPr>
                <w:rFonts w:hint="eastAsia" w:ascii="宋体" w:hAnsi="宋体" w:cs="宋体"/>
                <w:i w:val="0"/>
                <w:color w:val="000000"/>
                <w:kern w:val="0"/>
                <w:sz w:val="18"/>
                <w:szCs w:val="18"/>
                <w:u w:val="none"/>
                <w:lang w:val="en" w:eastAsia="zh-CN" w:bidi="ar"/>
              </w:rPr>
              <w:t xml:space="preserve">  </w:t>
            </w:r>
            <w:r>
              <w:rPr>
                <w:rFonts w:hint="eastAsia" w:ascii="宋体" w:hAnsi="宋体" w:cs="宋体"/>
                <w:i w:val="0"/>
                <w:color w:val="000000"/>
                <w:kern w:val="0"/>
                <w:sz w:val="18"/>
                <w:szCs w:val="18"/>
                <w:u w:val="none"/>
                <w:lang w:val="en-US" w:eastAsia="zh-CN" w:bidi="ar"/>
              </w:rPr>
              <w:t>2022年3月29日内蒙古自治区第十三届人民代表大会常务委员会第三十四次会议修订）</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第五条  旗县级以上人民政府燃气管理部门负责本行政区域内的燃气管理工作。</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第六条  旗县级以上人民政府燃气管理部门应当加强燃气行业信息化建设，建立健全燃气监督管理制度</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和燃气基础设施数据库，对燃气经营者进行监督检查，督促燃气经营者落实对燃气用户的安全服务</w:t>
            </w:r>
          </w:p>
          <w:p>
            <w:pPr>
              <w:pStyle w:val="2"/>
              <w:keepNext w:val="0"/>
              <w:keepLines w:val="0"/>
              <w:widowControl/>
              <w:suppressLineNumbers w:val="0"/>
              <w:spacing w:line="21" w:lineRule="atLeast"/>
              <w:ind w:right="-226"/>
              <w:jc w:val="left"/>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责任;对燃气经营者从事生产经营活动的情况进行评价。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left="0" w:leftChars="0" w:right="0" w:rightChars="0" w:firstLine="0" w:firstLineChars="0"/>
              <w:jc w:val="left"/>
              <w:textAlignment w:val="center"/>
              <w:outlineLvl w:val="9"/>
              <w:rPr>
                <w:rFonts w:hint="default" w:ascii="宋体" w:hAnsi="宋体" w:cs="宋体"/>
                <w:i w:val="0"/>
                <w:color w:val="000000"/>
                <w:kern w:val="0"/>
                <w:sz w:val="22"/>
                <w:szCs w:val="22"/>
                <w:u w:val="none"/>
                <w:lang w:val="en-US" w:eastAsia="zh-CN" w:bidi="ar"/>
              </w:rPr>
            </w:pPr>
          </w:p>
        </w:tc>
        <w:tc>
          <w:tcPr>
            <w:tcW w:w="7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center"/>
              <w:outlineLvl w:val="9"/>
              <w:rPr>
                <w:rFonts w:hint="eastAsia" w:ascii="仿宋" w:hAnsi="仿宋" w:eastAsia="仿宋" w:cs="仿宋"/>
                <w:b/>
                <w:bCs/>
                <w:sz w:val="18"/>
                <w:szCs w:val="18"/>
                <w:vertAlign w:val="baseline"/>
                <w:lang w:eastAsia="zh-CN"/>
              </w:rPr>
            </w:pPr>
            <w:r>
              <w:rPr>
                <w:rFonts w:hint="eastAsia" w:ascii="宋体" w:hAnsi="宋体" w:cs="宋体"/>
                <w:i w:val="0"/>
                <w:color w:val="000000"/>
                <w:kern w:val="0"/>
                <w:sz w:val="22"/>
                <w:szCs w:val="22"/>
                <w:u w:val="none"/>
                <w:lang w:val="en-US" w:eastAsia="zh-CN" w:bidi="ar"/>
              </w:rPr>
              <w:t>住房和城乡建设局</w:t>
            </w:r>
          </w:p>
        </w:tc>
        <w:tc>
          <w:tcPr>
            <w:tcW w:w="8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outlineLvl w:val="9"/>
              <w:rPr>
                <w:rFonts w:hint="eastAsia" w:ascii="仿宋_GB2312" w:hAnsi="宋体" w:eastAsia="仿宋_GB2312" w:cs="仿宋_GB2312"/>
                <w:i w:val="0"/>
                <w:color w:val="000000"/>
                <w:sz w:val="22"/>
                <w:szCs w:val="22"/>
                <w:u w:val="none"/>
              </w:rPr>
            </w:pPr>
          </w:p>
        </w:tc>
      </w:tr>
    </w:tbl>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outlineLvl w:val="9"/>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GE5MWNmYjQ3ZTE3ZjZlNDE1ZjQyODRkZTBlZjcifQ=="/>
  </w:docVars>
  <w:rsids>
    <w:rsidRoot w:val="20965B56"/>
    <w:rsid w:val="2096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15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2023-04-04T07:27:00Z</dcterms:created>
  <dc:creator>梁梁</dc:creator>
  <cp:lastModifiedBy>梁梁</cp:lastModifiedBy>
  <dcterms:modified xsi:type="dcterms:W3CDTF">2023-04-04T07:28:36Z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CE223740E3274C1C8D731F90C03496C8_11</vt:lpwstr>
  </property>
</Properties>
</file>