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before="0" w:beforeAutospacing="0" w:after="0" w:afterAutospacing="0" w:line="580" w:lineRule="exact"/>
        <w:jc w:val="center"/>
        <w:rPr>
          <w:rStyle w:val="8"/>
          <w:rFonts w:hint="eastAsia" w:ascii="方正小标宋简体" w:eastAsia="方正小标宋简体"/>
          <w:b w:val="0"/>
          <w:bCs w:val="0"/>
          <w:color w:val="000000" w:themeColor="text1"/>
          <w:sz w:val="44"/>
          <w:szCs w:val="44"/>
          <w14:textFill>
            <w14:solidFill>
              <w14:schemeClr w14:val="tx1"/>
            </w14:solidFill>
          </w14:textFill>
        </w:rPr>
      </w:pPr>
      <w:bookmarkStart w:id="0" w:name="_Hlk193989037"/>
      <w:bookmarkStart w:id="21" w:name="_GoBack"/>
      <w:bookmarkEnd w:id="21"/>
      <w:r>
        <w:rPr>
          <w:rStyle w:val="8"/>
          <w:rFonts w:hint="eastAsia" w:ascii="方正小标宋简体" w:eastAsia="方正小标宋简体"/>
          <w:b w:val="0"/>
          <w:bCs w:val="0"/>
          <w:color w:val="000000" w:themeColor="text1"/>
          <w:sz w:val="44"/>
          <w:szCs w:val="44"/>
          <w14:textFill>
            <w14:solidFill>
              <w14:schemeClr w14:val="tx1"/>
            </w14:solidFill>
          </w14:textFill>
        </w:rPr>
        <w:t>鄂尔多斯市城镇供热管理办法</w:t>
      </w:r>
      <w:bookmarkEnd w:id="0"/>
    </w:p>
    <w:p>
      <w:pPr>
        <w:pStyle w:val="6"/>
        <w:spacing w:before="0" w:beforeAutospacing="0" w:after="0" w:afterAutospacing="0" w:line="580" w:lineRule="exact"/>
        <w:jc w:val="center"/>
        <w:rPr>
          <w:rStyle w:val="8"/>
          <w:rFonts w:hint="eastAsia" w:ascii="方正小标宋简体" w:eastAsia="方正小标宋简体"/>
          <w:b w:val="0"/>
          <w:bCs w:val="0"/>
          <w:color w:val="000000" w:themeColor="text1"/>
          <w:sz w:val="44"/>
          <w:szCs w:val="44"/>
          <w14:textFill>
            <w14:solidFill>
              <w14:schemeClr w14:val="tx1"/>
            </w14:solidFill>
          </w14:textFill>
        </w:rPr>
      </w:pPr>
      <w:r>
        <w:rPr>
          <w:rStyle w:val="8"/>
          <w:rFonts w:hint="eastAsia" w:ascii="方正小标宋简体" w:eastAsia="方正小标宋简体"/>
          <w:b w:val="0"/>
          <w:bCs w:val="0"/>
          <w:color w:val="000000" w:themeColor="text1"/>
          <w:sz w:val="44"/>
          <w:szCs w:val="44"/>
          <w14:textFill>
            <w14:solidFill>
              <w14:schemeClr w14:val="tx1"/>
            </w14:solidFill>
          </w14:textFill>
        </w:rPr>
        <w:t>（征求意见稿）</w:t>
      </w:r>
    </w:p>
    <w:p>
      <w:pPr>
        <w:pStyle w:val="6"/>
        <w:spacing w:before="0" w:beforeAutospacing="0" w:after="0" w:afterAutospacing="0" w:line="580" w:lineRule="exact"/>
        <w:jc w:val="center"/>
        <w:rPr>
          <w:rFonts w:hint="eastAsia" w:ascii="仿宋_GB2312" w:eastAsia="仿宋_GB2312"/>
          <w:color w:val="000000" w:themeColor="text1"/>
          <w:sz w:val="32"/>
          <w:szCs w:val="32"/>
          <w14:textFill>
            <w14:solidFill>
              <w14:schemeClr w14:val="tx1"/>
            </w14:solidFill>
          </w14:textFill>
        </w:rPr>
      </w:pPr>
    </w:p>
    <w:p>
      <w:pPr>
        <w:pStyle w:val="6"/>
        <w:spacing w:before="0" w:beforeAutospacing="0" w:after="0" w:afterAutospacing="0" w:line="580" w:lineRule="exact"/>
        <w:jc w:val="cente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第一章 总则</w:t>
      </w:r>
    </w:p>
    <w:p>
      <w:pPr>
        <w:pStyle w:val="6"/>
        <w:spacing w:before="0" w:beforeAutospacing="0" w:after="0" w:afterAutospacing="0" w:line="580" w:lineRule="exact"/>
        <w:jc w:val="center"/>
        <w:rPr>
          <w:rFonts w:hint="eastAsia" w:ascii="黑体" w:hAnsi="黑体" w:eastAsia="黑体"/>
          <w:color w:val="000000" w:themeColor="text1"/>
          <w:sz w:val="32"/>
          <w:szCs w:val="32"/>
          <w14:textFill>
            <w14:solidFill>
              <w14:schemeClr w14:val="tx1"/>
            </w14:solidFill>
          </w14:textFill>
        </w:rPr>
      </w:pP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第一条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为加强城镇供用热管理，维护和保障供热、用热双方的合法权益，促进城镇供热高质量发展，</w:t>
      </w:r>
      <w:bookmarkStart w:id="1" w:name="OLE_LINK1"/>
      <w:bookmarkStart w:id="2" w:name="OLE_LINK2"/>
      <w:r>
        <w:rPr>
          <w:rFonts w:hint="eastAsia" w:ascii="仿宋_GB2312" w:eastAsia="仿宋_GB2312"/>
          <w:color w:val="000000" w:themeColor="text1"/>
          <w:sz w:val="32"/>
          <w:szCs w:val="32"/>
          <w14:textFill>
            <w14:solidFill>
              <w14:schemeClr w14:val="tx1"/>
            </w14:solidFill>
          </w14:textFill>
        </w:rPr>
        <w:t>根据国家相关法律、法规和《内蒙古自治区城镇供热条例》</w:t>
      </w:r>
      <w:bookmarkEnd w:id="1"/>
      <w:bookmarkEnd w:id="2"/>
      <w:r>
        <w:rPr>
          <w:rFonts w:hint="eastAsia" w:ascii="仿宋_GB2312" w:eastAsia="仿宋_GB2312"/>
          <w:color w:val="000000" w:themeColor="text1"/>
          <w:sz w:val="32"/>
          <w:szCs w:val="32"/>
          <w14:textFill>
            <w14:solidFill>
              <w14:schemeClr w14:val="tx1"/>
            </w14:solidFill>
          </w14:textFill>
        </w:rPr>
        <w:t>，结合我市实际，制定本办法。</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第二条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在本市行政区域内从事城镇供热规划、设计、建设、经营、使用以及相关管理活动，适用本办法。</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本办法所称供热，是指利用热电联产、区域锅炉等所产生的蒸汽、热水和工业余热、地热等热源，通过管网为热用户有偿提供生产和生活用热的行为。</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本办法所称热源单位，是指为供热单位提供热能的单位。</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本办法所称供热单位，是指利用热源单位提供或者本单位生产的热能，从事供热经营活动的单位。</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bookmarkStart w:id="3" w:name="OLE_LINK62"/>
      <w:bookmarkStart w:id="4" w:name="OLE_LINK61"/>
      <w:r>
        <w:rPr>
          <w:rFonts w:hint="eastAsia" w:ascii="仿宋_GB2312" w:eastAsia="仿宋_GB2312"/>
          <w:color w:val="000000" w:themeColor="text1"/>
          <w:sz w:val="32"/>
          <w:szCs w:val="32"/>
          <w14:textFill>
            <w14:solidFill>
              <w14:schemeClr w14:val="tx1"/>
            </w14:solidFill>
          </w14:textFill>
        </w:rPr>
        <w:t>本办法所称</w:t>
      </w:r>
      <w:bookmarkEnd w:id="3"/>
      <w:bookmarkEnd w:id="4"/>
      <w:r>
        <w:rPr>
          <w:rFonts w:hint="eastAsia" w:ascii="仿宋_GB2312" w:eastAsia="仿宋_GB2312"/>
          <w:color w:val="000000" w:themeColor="text1"/>
          <w:sz w:val="32"/>
          <w:szCs w:val="32"/>
          <w14:textFill>
            <w14:solidFill>
              <w14:schemeClr w14:val="tx1"/>
            </w14:solidFill>
          </w14:textFill>
        </w:rPr>
        <w:t>热用户，是指有偿使用供热单位热能的单位或者个人。</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本办法所称基本热费，也称基础热费、热能损耗补偿费，是指用户在供热期按照相关规定向集中供热企业交纳的基本费用，主要用于集中供热企业基础热力供应、设备运行与维护、设备更新等方面的支出。</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第四条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城镇供热管理应当遵循统一规划、保障安全、规范服务、节能环保的原则。</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第五条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市、旗区人民政府应当将城镇供热事业的发展纳入国民经济和社会发展规划，建立完善的供热保障体系和供热管理协调机制，提高供热保障能力，发展集中供热，逐步淘汰分散锅炉供热。</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第六条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市人民政府供热行政主管部门负责全市供热管理工作，各旗区人民政府供热行政主管部门负责本行政区域内的供热具体监督管理工作。</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发展和改革、财政、自然资源、生态环境、水行政、市场监督管理、能源、应急管理等有关部门按照各自职责，做好城镇供热管理的相关工作。</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苏木乡镇人民政府和街道办事处应当做好辖区内供热管理相关工作。</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第七条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鼓励利用清洁能源和可再生能源发展供热事业，推广应用节能、高效、环保、安全的供热新技术、新工艺、新设备、新材料，实施智慧供热改造建设，推进节能减排和可持续发展。</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p>
    <w:p>
      <w:pPr>
        <w:pStyle w:val="6"/>
        <w:spacing w:before="0" w:beforeAutospacing="0" w:after="0" w:afterAutospacing="0" w:line="580" w:lineRule="exact"/>
        <w:jc w:val="cente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第二章 规划与建设</w:t>
      </w:r>
    </w:p>
    <w:p>
      <w:pPr>
        <w:pStyle w:val="6"/>
        <w:spacing w:before="0" w:beforeAutospacing="0" w:after="0" w:afterAutospacing="0" w:line="580" w:lineRule="exact"/>
        <w:jc w:val="center"/>
        <w:rPr>
          <w:rFonts w:hint="eastAsia" w:ascii="黑体" w:hAnsi="黑体" w:eastAsia="黑体"/>
          <w:color w:val="000000" w:themeColor="text1"/>
          <w:sz w:val="32"/>
          <w:szCs w:val="32"/>
          <w14:textFill>
            <w14:solidFill>
              <w14:schemeClr w14:val="tx1"/>
            </w14:solidFill>
          </w14:textFill>
        </w:rPr>
      </w:pP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第八条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市、旗区人民政府供热主管部门应当会同自然资源等有关部门，依据国土空间总体规划、能源发展规划编制城镇供热专项规划，报同级人民政府批准后实施。</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经批准的城镇供热专项规划，任何单位和个人不得擅自变更；确需变更的，应当报原批准机关批准。</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第九条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市、旗区人民政府规划行政主管部门在审批建设项目用地时，应当根据城镇供热专项规划预留供热设施配套建设用地。预留的供热设施配套建设用地，任何单位和个人不得擅自占用或者改变用途。</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第十条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新建、改建、扩建供热工程，应当符合供热专项规划，并依法履行基本建设程序。</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bookmarkStart w:id="5" w:name="_Hlk193983996"/>
      <w:r>
        <w:rPr>
          <w:rFonts w:hint="eastAsia" w:ascii="仿宋_GB2312" w:eastAsia="仿宋_GB2312"/>
          <w:color w:val="000000" w:themeColor="text1"/>
          <w:sz w:val="32"/>
          <w:szCs w:val="32"/>
          <w14:textFill>
            <w14:solidFill>
              <w14:schemeClr w14:val="tx1"/>
            </w14:solidFill>
          </w14:textFill>
        </w:rPr>
        <w:t>新建、改建、扩建房屋建筑区划红线内的供热设施设备以及相关管线，应当与房屋建筑主体工程同</w:t>
      </w:r>
      <w:bookmarkStart w:id="6" w:name="OLE_LINK16"/>
      <w:bookmarkStart w:id="7" w:name="OLE_LINK17"/>
      <w:r>
        <w:rPr>
          <w:rFonts w:hint="eastAsia" w:ascii="仿宋_GB2312" w:eastAsia="仿宋_GB2312"/>
          <w:color w:val="000000" w:themeColor="text1"/>
          <w:sz w:val="32"/>
          <w:szCs w:val="32"/>
          <w14:textFill>
            <w14:solidFill>
              <w14:schemeClr w14:val="tx1"/>
            </w14:solidFill>
          </w14:textFill>
        </w:rPr>
        <w:t>步</w:t>
      </w:r>
      <w:bookmarkEnd w:id="6"/>
      <w:bookmarkEnd w:id="7"/>
      <w:r>
        <w:rPr>
          <w:rFonts w:hint="eastAsia" w:ascii="仿宋_GB2312" w:eastAsia="仿宋_GB2312"/>
          <w:color w:val="000000" w:themeColor="text1"/>
          <w:sz w:val="32"/>
          <w:szCs w:val="32"/>
          <w14:textFill>
            <w14:solidFill>
              <w14:schemeClr w14:val="tx1"/>
            </w14:solidFill>
          </w14:textFill>
        </w:rPr>
        <w:t>设计、同步施工、同步验收、同步交付。供热工程竣工后，建设单位应当依法组织竣工验收，并通知供热单位参加；验收合格的，建设单位应当将供热设施设备以及相关管线移交给供热单位维护管理，供热单位应当接收。</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未经验收或者验收不合格的，不得投入使用。</w:t>
      </w:r>
      <w:bookmarkEnd w:id="5"/>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第十一条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建设单位在编制建设工程规划设计方案时，应当征求供热单位意见。房屋建筑工程供热系统设计的技术参数应当与供热单位热媒参数相匹配，热负荷与供热面积相适应，符合国家有关规范和标准。</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新建民用建筑的供热系统应当实行分户控制，分户控制的阀门应当设在相应公共区域。</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第十二条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施工单位应当依法承担新建房屋建筑供热系统五个供热期的保修责任，保修责任未履行或者拖延履行的，保修期顺延。保修期自工程竣工验收合格之日起计算。</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p>
    <w:p>
      <w:pPr>
        <w:pStyle w:val="6"/>
        <w:spacing w:before="0" w:beforeAutospacing="0" w:after="0" w:afterAutospacing="0" w:line="580" w:lineRule="exact"/>
        <w:jc w:val="cente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第三章 供热设施管理</w:t>
      </w:r>
    </w:p>
    <w:p>
      <w:pPr>
        <w:pStyle w:val="6"/>
        <w:spacing w:before="0" w:beforeAutospacing="0" w:after="0" w:afterAutospacing="0" w:line="580" w:lineRule="exact"/>
        <w:jc w:val="center"/>
        <w:rPr>
          <w:rFonts w:hint="eastAsia" w:ascii="黑体" w:hAnsi="黑体" w:eastAsia="黑体"/>
          <w:color w:val="000000" w:themeColor="text1"/>
          <w:sz w:val="32"/>
          <w:szCs w:val="32"/>
          <w14:textFill>
            <w14:solidFill>
              <w14:schemeClr w14:val="tx1"/>
            </w14:solidFill>
          </w14:textFill>
        </w:rPr>
      </w:pP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第十三条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市、旗区人民政府应当建立供热管网维修、养护、更新保障资金制度。供热管网维修、养护、更新保障资金由所在地供热行政主管部门统一管理，专项用于居住建筑热用户分户终端计量装置或者入户端口以外供热设施、设备维修、养护、更新。保障资金的筹集、使用和管理办法，由市人民政府制定。</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第十四条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bookmarkStart w:id="8" w:name="_Hlk193984436"/>
      <w:r>
        <w:rPr>
          <w:rFonts w:hint="eastAsia" w:ascii="仿宋_GB2312" w:eastAsia="仿宋_GB2312"/>
          <w:color w:val="000000" w:themeColor="text1"/>
          <w:sz w:val="32"/>
          <w:szCs w:val="32"/>
          <w14:textFill>
            <w14:solidFill>
              <w14:schemeClr w14:val="tx1"/>
            </w14:solidFill>
          </w14:textFill>
        </w:rPr>
        <w:t>新建住宅小区供热单位应当直管到户，减少中间环节和矛盾纠纷；既有住宅小区建筑红线内的供热设施设备以及相关管线具备移交条件的，旗区人民政府应当组织供热单位验收，验收合格的，由供热单位接收；验收不合格的，旗区人民政府应当组织产权或管理单位进行整改，整改合格后，由供热单位接收。</w:t>
      </w:r>
      <w:bookmarkEnd w:id="8"/>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第十五条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供热设施已移交供热单位的，维修、养护和更新责任按照下列规定划分：</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（一）供热系统实行分户控制的，以入户阀门为界，</w:t>
      </w:r>
      <w:bookmarkStart w:id="9" w:name="OLE_LINK45"/>
      <w:bookmarkStart w:id="10" w:name="OLE_LINK44"/>
      <w:r>
        <w:rPr>
          <w:rFonts w:hint="eastAsia" w:ascii="仿宋_GB2312" w:eastAsia="仿宋_GB2312"/>
          <w:color w:val="000000" w:themeColor="text1"/>
          <w:sz w:val="32"/>
          <w:szCs w:val="32"/>
          <w14:textFill>
            <w14:solidFill>
              <w14:schemeClr w14:val="tx1"/>
            </w14:solidFill>
          </w14:textFill>
        </w:rPr>
        <w:t>阀门</w:t>
      </w:r>
      <w:bookmarkEnd w:id="9"/>
      <w:bookmarkEnd w:id="10"/>
      <w:r>
        <w:rPr>
          <w:rFonts w:hint="eastAsia" w:ascii="仿宋_GB2312" w:eastAsia="仿宋_GB2312"/>
          <w:color w:val="000000" w:themeColor="text1"/>
          <w:sz w:val="32"/>
          <w:szCs w:val="32"/>
          <w14:textFill>
            <w14:solidFill>
              <w14:schemeClr w14:val="tx1"/>
            </w14:solidFill>
          </w14:textFill>
        </w:rPr>
        <w:t>以外的供热设施（含阀门）由供热单位负责维修、养护和更新，阀门以内的供热设施由热用户自行负责维修、养护和更新；</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（二）供热系统未实行分户控制的，以楼栋入户阀门为界，阀门以外的供热设施由供热单位负责</w:t>
      </w:r>
      <w:bookmarkStart w:id="11" w:name="OLE_LINK47"/>
      <w:bookmarkStart w:id="12" w:name="OLE_LINK46"/>
      <w:r>
        <w:rPr>
          <w:rFonts w:hint="eastAsia" w:ascii="仿宋_GB2312" w:eastAsia="仿宋_GB2312"/>
          <w:color w:val="000000" w:themeColor="text1"/>
          <w:sz w:val="32"/>
          <w:szCs w:val="32"/>
          <w14:textFill>
            <w14:solidFill>
              <w14:schemeClr w14:val="tx1"/>
            </w14:solidFill>
          </w14:textFill>
        </w:rPr>
        <w:t>维修、养护和更新</w:t>
      </w:r>
      <w:bookmarkEnd w:id="11"/>
      <w:bookmarkEnd w:id="12"/>
      <w:r>
        <w:rPr>
          <w:rFonts w:hint="eastAsia" w:ascii="仿宋_GB2312" w:eastAsia="仿宋_GB2312"/>
          <w:color w:val="000000" w:themeColor="text1"/>
          <w:sz w:val="32"/>
          <w:szCs w:val="32"/>
          <w14:textFill>
            <w14:solidFill>
              <w14:schemeClr w14:val="tx1"/>
            </w14:solidFill>
          </w14:textFill>
        </w:rPr>
        <w:t>，阀门以内的供热设施由热用户</w:t>
      </w:r>
      <w:bookmarkStart w:id="13" w:name="OLE_LINK48"/>
      <w:bookmarkStart w:id="14" w:name="OLE_LINK49"/>
      <w:r>
        <w:rPr>
          <w:rFonts w:hint="eastAsia" w:ascii="仿宋_GB2312" w:eastAsia="仿宋_GB2312"/>
          <w:color w:val="000000" w:themeColor="text1"/>
          <w:sz w:val="32"/>
          <w:szCs w:val="32"/>
          <w14:textFill>
            <w14:solidFill>
              <w14:schemeClr w14:val="tx1"/>
            </w14:solidFill>
          </w14:textFill>
        </w:rPr>
        <w:t>自行</w:t>
      </w:r>
      <w:bookmarkEnd w:id="13"/>
      <w:bookmarkEnd w:id="14"/>
      <w:r>
        <w:rPr>
          <w:rFonts w:hint="eastAsia" w:ascii="仿宋_GB2312" w:eastAsia="仿宋_GB2312"/>
          <w:color w:val="000000" w:themeColor="text1"/>
          <w:sz w:val="32"/>
          <w:szCs w:val="32"/>
          <w14:textFill>
            <w14:solidFill>
              <w14:schemeClr w14:val="tx1"/>
            </w14:solidFill>
          </w14:textFill>
        </w:rPr>
        <w:t>负责维修、养护和更新；</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（三）供热计量器具由供热经营单位负责维修更换；</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（四）热用户发现供热设施异常、泄漏等情况时，应当及时向供热单位或者物业服务人报修，供热单位或者供热单位委托的物业服务人应当及时组织抢修，所发生的费用由相关责任方承担。</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bookmarkStart w:id="15" w:name="_Hlk193984617"/>
      <w:r>
        <w:rPr>
          <w:rFonts w:hint="eastAsia" w:ascii="仿宋_GB2312" w:eastAsia="仿宋_GB2312"/>
          <w:color w:val="000000" w:themeColor="text1"/>
          <w:sz w:val="32"/>
          <w:szCs w:val="32"/>
          <w14:textFill>
            <w14:solidFill>
              <w14:schemeClr w14:val="tx1"/>
            </w14:solidFill>
          </w14:textFill>
        </w:rPr>
        <w:t>（五）供热设施尚在保修期内的，其维修、养护和更新费用由建设单位承担。</w:t>
      </w:r>
      <w:bookmarkEnd w:id="15"/>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第十六条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在供热管道及其附属设施安全保护距离范围内，任何单位和个人不得实施下列行为：</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（一）擅自改装、拆除和移动公共供热设施。</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（二）向供热阀门井、管沟排放污水或倾倒垃圾、液体和其他有害物质。</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（三）擅自连接或隔断供热管网和其他供热设施。</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（四）擅自并网增容或改变供热设施使用性质和运行方式。</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（五）损坏或擅自挪动、改动和调整热力计量仪表及附件。</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（六）建造建筑物、构筑物、敷设管线；</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（七）开展挖掘、打桩、爆破和种植深根性植物；沟渠、挖坑取土；</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（八）其他可能危害供热设施安全的行为。</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第十七条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热源单位和供热单位应建立供热设施巡查制度，定期检查供热设施。发现其负责维护管理的供热设施存在安全隐患或影响正常供热问题时，应及时消除隐患；发现热用户负责维护管理的供热设施存在安全隐患或影响正常供热问题时，应及时书面告知热用户要求其及时整改。</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p>
    <w:p>
      <w:pPr>
        <w:pStyle w:val="6"/>
        <w:spacing w:before="0" w:beforeAutospacing="0" w:after="0" w:afterAutospacing="0" w:line="580" w:lineRule="exact"/>
        <w:jc w:val="cente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第四章 供热与用热</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第十八条</w:t>
      </w:r>
      <w:r>
        <w:rPr>
          <w:rFonts w:hint="eastAsia" w:ascii="仿宋_GB2312" w:eastAsia="仿宋_GB2312"/>
          <w:color w:val="000000" w:themeColor="text1"/>
          <w:sz w:val="32"/>
          <w:szCs w:val="32"/>
          <w14:textFill>
            <w14:solidFill>
              <w14:schemeClr w14:val="tx1"/>
            </w14:solidFill>
          </w14:textFill>
        </w:rPr>
        <w:t xml:space="preserve">  供热价格实行政府定价。供热价格的调整，由市、旗区人民政府价格主管部门按照规定权限和程序审批。调整居民供热价格，价格主管部门应当通过举行听证会和向社会公示等方式听取意见。</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价格主管部门应当完善供热成本监审制度，定期开展供热成本监审，根据成本监审结果适时调整热价。</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市、旗区人民政府应当建立与煤炭价格联动的补贴机制，在热价不足以补偿正常的供热成本时，可以对热源企业实行临时性补贴。</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第十九条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实行供热计量收费的热用户，热费按基本热费和计量热费收取，具体收费标准按照价格主管部门发布的相关规定执行。</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未实行供热计量收费的热用户，热费按房屋的建筑面积收取；按建筑面积收费的非居民用户，以建筑层高3米为基本标准计收，建筑层高每超过标准层高0</w:t>
      </w:r>
      <w:r>
        <w:rPr>
          <w:rFonts w:ascii="仿宋_GB2312" w:eastAsia="仿宋_GB2312"/>
          <w:color w:val="000000" w:themeColor="text1"/>
          <w:sz w:val="32"/>
          <w:szCs w:val="32"/>
          <w14:textFill>
            <w14:solidFill>
              <w14:schemeClr w14:val="tx1"/>
            </w14:solidFill>
          </w14:textFill>
        </w:rPr>
        <w:t>.1</w:t>
      </w:r>
      <w:r>
        <w:rPr>
          <w:rFonts w:hint="eastAsia" w:ascii="仿宋_GB2312" w:eastAsia="仿宋_GB2312"/>
          <w:color w:val="000000" w:themeColor="text1"/>
          <w:sz w:val="32"/>
          <w:szCs w:val="32"/>
          <w14:textFill>
            <w14:solidFill>
              <w14:schemeClr w14:val="tx1"/>
            </w14:solidFill>
          </w14:textFill>
        </w:rPr>
        <w:t>米，供热价格标准增加1</w:t>
      </w:r>
      <w:r>
        <w:rPr>
          <w:rFonts w:ascii="仿宋_GB2312" w:eastAsia="仿宋_GB2312"/>
          <w:color w:val="000000" w:themeColor="text1"/>
          <w:sz w:val="32"/>
          <w:szCs w:val="32"/>
          <w14:textFill>
            <w14:solidFill>
              <w14:schemeClr w14:val="tx1"/>
            </w14:solidFill>
          </w14:textFill>
        </w:rPr>
        <w:t>%</w:t>
      </w:r>
      <w:r>
        <w:rPr>
          <w:rFonts w:hint="eastAsia" w:ascii="仿宋_GB2312" w:eastAsia="仿宋_GB2312"/>
          <w:color w:val="000000" w:themeColor="text1"/>
          <w:sz w:val="32"/>
          <w:szCs w:val="32"/>
          <w14:textFill>
            <w14:solidFill>
              <w14:schemeClr w14:val="tx1"/>
            </w14:solidFill>
          </w14:textFill>
        </w:rPr>
        <w:t>，主要适用于商场、厂房、体育场馆等非居民用热场所。</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第二十条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用热费以预付方式交纳。热用户应在每年供热期开始前</w:t>
      </w:r>
      <w:r>
        <w:rPr>
          <w:rFonts w:ascii="仿宋_GB2312" w:eastAsia="仿宋_GB2312"/>
          <w:color w:val="000000" w:themeColor="text1"/>
          <w:sz w:val="32"/>
          <w:szCs w:val="32"/>
          <w14:textFill>
            <w14:solidFill>
              <w14:schemeClr w14:val="tx1"/>
            </w14:solidFill>
          </w14:textFill>
        </w:rPr>
        <w:t>30</w:t>
      </w:r>
      <w:r>
        <w:rPr>
          <w:rFonts w:hint="eastAsia" w:ascii="仿宋_GB2312" w:eastAsia="仿宋_GB2312"/>
          <w:color w:val="000000" w:themeColor="text1"/>
          <w:sz w:val="32"/>
          <w:szCs w:val="32"/>
          <w14:textFill>
            <w14:solidFill>
              <w14:schemeClr w14:val="tx1"/>
            </w14:solidFill>
          </w14:textFill>
        </w:rPr>
        <w:t>日内交纳本供热期的用热费。热用户一次性交纳用热费确有困难的，可以与供热单位协商在本供热期内分期交纳。</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新建房屋未交付的，热费由建设单位承担；已交付的，热费由房屋买受人承担。新建房屋接入供热管网时间晚于供热起始期的，按照实际供热天数交纳热费。</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热用户发生变更时，应当到供热单位结清热费、办理变更手续并妥善处理遗留问题。如不办理变更手续，新用户应当承担相应责任。</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供热单位应当通过开通网络支付等方式为热用户交纳热费提供便利。</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第二十一条</w:t>
      </w:r>
      <w:r>
        <w:rPr>
          <w:rFonts w:hint="eastAsia" w:ascii="仿宋_GB2312" w:eastAsia="仿宋_GB2312"/>
          <w:color w:val="000000" w:themeColor="text1"/>
          <w:sz w:val="32"/>
          <w:szCs w:val="32"/>
          <w14:textFill>
            <w14:solidFill>
              <w14:schemeClr w14:val="tx1"/>
            </w14:solidFill>
          </w14:textFill>
        </w:rPr>
        <w:t xml:space="preserve">  热用户逾期未交纳热费，经催告在</w:t>
      </w:r>
      <w:r>
        <w:rPr>
          <w:rFonts w:ascii="仿宋_GB2312" w:eastAsia="仿宋_GB2312"/>
          <w:color w:val="000000" w:themeColor="text1"/>
          <w:sz w:val="32"/>
          <w:szCs w:val="32"/>
          <w14:textFill>
            <w14:solidFill>
              <w14:schemeClr w14:val="tx1"/>
            </w14:solidFill>
          </w14:textFill>
        </w:rPr>
        <w:t>30</w:t>
      </w:r>
      <w:r>
        <w:rPr>
          <w:rFonts w:hint="eastAsia" w:ascii="仿宋_GB2312" w:eastAsia="仿宋_GB2312"/>
          <w:color w:val="000000" w:themeColor="text1"/>
          <w:sz w:val="32"/>
          <w:szCs w:val="32"/>
          <w14:textFill>
            <w14:solidFill>
              <w14:schemeClr w14:val="tx1"/>
            </w14:solidFill>
          </w14:textFill>
        </w:rPr>
        <w:t>日内仍未交纳的，供热单位在不损害其他热用户用热权益的情况下，可以对其中止供热。热用户应当交纳中止供热期间的基本热费。</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供热单位不得因个别热用户欠缴用热费而停止向其他热用户供热或降低供热标准。</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第二十二条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热用户需停止或恢复用热的，应在停止或恢复用热前30日向供热单位提出申请，并办理相关手续。停止用热期限由供用热双方约定，停止用热期间热用户不得擅自恢复用热。</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第二十三条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停止用热的热用户应向供热单位交纳热费总额10%的基本热费，供热期间申请恢复用热需交纳全额热费；实行分户计量收费的，按分户计量收费的有关规定执行。</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供热单位办理停止或恢复用热手续以及施工处理时，不得向热用户收取施工材料费和人工费等费用。</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第二十四条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热用户有下列情形之一的，不得停止用热。</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（一）在新建建筑交付使用后第一个供热期内的；</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（二）可能危害公用设施安全运行的；</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（三）可能影响相邻热用户正常用热的。</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第二十五条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对享受城镇居民最低生活保障待遇等困难热用户实行用热费政府补贴，补贴办法由市人民政府制定。</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第二十六条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供热起止时间为每年10月15日至次年4月15日。市、旗区人民政府应当建立供热与气象联合会商机制，根据气象等实际情况适当调整供热起止时间，延长期供热费用由各级人民政府按照本行政区域相关标准给予供热单位补贴。</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第二十七条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供热期内，供热单位应当保证符合国家建筑节能标准的民用建筑室内温度达到18°C以上。</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bookmarkStart w:id="16" w:name="OLE_LINK54"/>
      <w:r>
        <w:rPr>
          <w:rFonts w:hint="eastAsia" w:ascii="仿宋_GB2312" w:eastAsia="仿宋_GB2312"/>
          <w:b/>
          <w:bCs/>
          <w:color w:val="000000" w:themeColor="text1"/>
          <w:sz w:val="32"/>
          <w:szCs w:val="32"/>
          <w14:textFill>
            <w14:solidFill>
              <w14:schemeClr w14:val="tx1"/>
            </w14:solidFill>
          </w14:textFill>
        </w:rPr>
        <w:t>第二十八条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bookmarkEnd w:id="16"/>
      <w:bookmarkStart w:id="17" w:name="_Hlk193985585"/>
      <w:r>
        <w:rPr>
          <w:rFonts w:hint="eastAsia" w:ascii="仿宋_GB2312" w:eastAsia="仿宋_GB2312"/>
          <w:color w:val="000000" w:themeColor="text1"/>
          <w:sz w:val="32"/>
          <w:szCs w:val="32"/>
          <w14:textFill>
            <w14:solidFill>
              <w14:schemeClr w14:val="tx1"/>
            </w14:solidFill>
          </w14:textFill>
        </w:rPr>
        <w:t>供热单位应当建立智慧供热管理平台，在线监测和调节热源、供热管网、换热站等供热设施的相关参数，在居民用户室内安装温度采集器，完善用户查询、预约、投诉、缴费等操作系统，提高集中供热管理服务水平。</w:t>
      </w:r>
      <w:bookmarkEnd w:id="17"/>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供热单位应当保存整个供热期的系统记录，接受供热行政主管部门监督和热用户咨询。</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供热单位和热源单位应当将相关运行参数即时上传到供热行政主管部门监管平台，发现问题及时处置。</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第二十九条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热用户认为室内温度未达到规定温度的，可以向供热单位申请入户测温。热用户对测温结果有异议的，可以向所在地供热主管部门投诉。</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供热主管部门应当在接到投诉二十四小时内组织具备资质的检测机构入户测温。检测机构收取的检测费用由责任方承担。</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bookmarkStart w:id="18" w:name="_Hlk193985149"/>
      <w:r>
        <w:rPr>
          <w:rFonts w:hint="eastAsia" w:ascii="仿宋_GB2312" w:eastAsia="仿宋_GB2312"/>
          <w:color w:val="000000" w:themeColor="text1"/>
          <w:sz w:val="32"/>
          <w:szCs w:val="32"/>
          <w14:textFill>
            <w14:solidFill>
              <w14:schemeClr w14:val="tx1"/>
            </w14:solidFill>
          </w14:textFill>
        </w:rPr>
        <w:t>供热单位在集中供热期间实行二十四小时值班制度，及时处理用户的报修或者投诉。对供热管网泄漏的报修，应当在接到报修后两小时内进行抢修；对供热质量的投诉，应当在接到投诉后十二个小时内到达现场解决处置并入户测温，并在用户投诉后3日内进行回访，热用户应当予以配合。</w:t>
      </w:r>
      <w:bookmarkEnd w:id="18"/>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检测室内温度时，应当按照国家相关技术规范标准，以房屋对角线中心点距地面高1.2米至1.5米处为检测点，以二十四小时为一个检测时段，对热用户室内温度进行现场测温。测温方法应当执行国家和自治区有关规定。测温时间、测温结果应当由双方共同签字确认。</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第三十条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由于供热单位原因造成温度不达标的，供热单位应当退还温度不达标期的热费。温度不达标期为热用户投诉之日起至温度达标之日止。</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供热单位向热用户退还用热费，应在每年采暖期结束之日起60日内通知用户并办理退费，双方另有约定按约定内容处理。</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温度不达标属于热源生产企业责任的，供热单位应当先行将热费退还给热用户，再向热源单位追偿。</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第三十一条</w:t>
      </w:r>
      <w:r>
        <w:rPr>
          <w:rFonts w:hint="eastAsia" w:ascii="仿宋_GB2312" w:eastAsia="仿宋_GB2312"/>
          <w:color w:val="000000" w:themeColor="text1"/>
          <w:sz w:val="32"/>
          <w:szCs w:val="32"/>
          <w14:textFill>
            <w14:solidFill>
              <w14:schemeClr w14:val="tx1"/>
            </w14:solidFill>
          </w14:textFill>
        </w:rPr>
        <w:t xml:space="preserve">  热用户不得实施下列行为：</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（一）从供热设施中取用供热循环水；</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（二）未经供热单位同意，擅自增加供热面积或者改变用热性质；</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（三）在供热管道上安装管道泵等改变供热运行方式；</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（四）其他妨碍供热设施正常运行的行为。</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第三十二条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热用户违反本条例第三十一条规定或者有下列行为之一，导致室内温度低于本条例规定温度或者供用热合同约定温度的，供热单位不予承担责任：</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（一）未按照规定交纳热费的；</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（二）热用户室内供热设施不能正常使用或装修遮挡散热器严重影响供热效果的；</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（三）既有建筑不符合国家建筑节能标准和未采取正常保温措施的；</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（四）热用户擅自改变室内供热设施、扩大供热负荷的；</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（五）拒绝、阻挠供热单位正常检修、抢修的。</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因上述原因给其他热用户造成损失的，由责任人负责赔偿。</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第三十三条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热用户应对室内的供热设施进行日常维修养护，确保供热设施的完好和安全。需改变室内供热设施、扩大供热负荷的，应征得供热单位同意并办理相关手续。</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第三十四条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供热单位应当在服务站点、供热场所宣传栏、官方网站、新媒体服务平台公开并定期更新以下内容：</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（一）热力销售价格，维修及相关服务价格标准及有关收费依据；</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（二）热费收缴、供热维修及相关服务办理程序及时限，服务网点设置、服务标准、服务承诺和便民措施；</w:t>
      </w:r>
      <w:r>
        <w:rPr>
          <w:rFonts w:ascii="仿宋_GB2312" w:eastAsia="仿宋_GB2312"/>
          <w:color w:val="000000" w:themeColor="text1"/>
          <w:sz w:val="32"/>
          <w:szCs w:val="32"/>
          <w14:textFill>
            <w14:solidFill>
              <w14:schemeClr w14:val="tx1"/>
            </w14:solidFill>
          </w14:textFill>
        </w:rPr>
        <w:t xml:space="preserve"> </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（三）用热申请及用户入网报装流程及办理时限；</w:t>
      </w:r>
      <w:r>
        <w:rPr>
          <w:rFonts w:ascii="仿宋_GB2312" w:eastAsia="仿宋_GB2312"/>
          <w:color w:val="000000" w:themeColor="text1"/>
          <w:sz w:val="32"/>
          <w:szCs w:val="32"/>
          <w14:textFill>
            <w14:solidFill>
              <w14:schemeClr w14:val="tx1"/>
            </w14:solidFill>
          </w14:textFill>
        </w:rPr>
        <w:t xml:space="preserve"> </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（四）法定供热时间，供热收费的起止日期；</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（五）计划类施工停热和恢复供热信息及抄表计划信息，社会舆论关注度高、反映问题较多的信息；</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（六）供热及供热设施安全使用规定、常识和安全提示；</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（七）咨询服务电话、报修和监督投诉电话；</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（八）其他应当公开的重要信息。</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p>
    <w:p>
      <w:pPr>
        <w:pStyle w:val="6"/>
        <w:spacing w:before="0" w:beforeAutospacing="0" w:after="0" w:afterAutospacing="0" w:line="580" w:lineRule="exact"/>
        <w:jc w:val="cente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第五章 供热保障</w:t>
      </w:r>
    </w:p>
    <w:p>
      <w:pPr>
        <w:pStyle w:val="6"/>
        <w:spacing w:before="0" w:beforeAutospacing="0" w:after="0" w:afterAutospacing="0" w:line="580" w:lineRule="exact"/>
        <w:jc w:val="center"/>
        <w:rPr>
          <w:rFonts w:hint="eastAsia" w:ascii="黑体" w:hAnsi="黑体" w:eastAsia="黑体"/>
          <w:color w:val="000000" w:themeColor="text1"/>
          <w:sz w:val="32"/>
          <w:szCs w:val="32"/>
          <w14:textFill>
            <w14:solidFill>
              <w14:schemeClr w14:val="tx1"/>
            </w14:solidFill>
          </w14:textFill>
        </w:rPr>
      </w:pP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第三十五条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热源单位和供热单位应按照国家、内蒙古自治区和我市的有关规定和标准、规范等，向热用户提供安全、稳定、质量合格的供热产品和供热服务，在采暖期内不得擅自停止供热或降低供热质量。</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第三十六条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市、旗区人民政府供热行政主管部门应当制定并组织实施本行政区域的供热事故应急预案，</w:t>
      </w:r>
      <w:bookmarkStart w:id="19" w:name="OLE_LINK30"/>
      <w:bookmarkStart w:id="20" w:name="OLE_LINK31"/>
      <w:r>
        <w:rPr>
          <w:rFonts w:hint="eastAsia" w:ascii="仿宋_GB2312" w:eastAsia="仿宋_GB2312"/>
          <w:color w:val="000000" w:themeColor="text1"/>
          <w:sz w:val="32"/>
          <w:szCs w:val="32"/>
          <w14:textFill>
            <w14:solidFill>
              <w14:schemeClr w14:val="tx1"/>
            </w14:solidFill>
          </w14:textFill>
        </w:rPr>
        <w:t>建立相应的组织指挥系统和资金、物资保障体系。发</w:t>
      </w:r>
      <w:bookmarkEnd w:id="19"/>
      <w:bookmarkEnd w:id="20"/>
      <w:r>
        <w:rPr>
          <w:rFonts w:hint="eastAsia" w:ascii="仿宋_GB2312" w:eastAsia="仿宋_GB2312"/>
          <w:color w:val="000000" w:themeColor="text1"/>
          <w:sz w:val="32"/>
          <w:szCs w:val="32"/>
          <w14:textFill>
            <w14:solidFill>
              <w14:schemeClr w14:val="tx1"/>
            </w14:solidFill>
          </w14:textFill>
        </w:rPr>
        <w:t>生供热事故造成人员伤亡、财产损失的，按照国家和自治区有关规定调查处理。</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第三十七条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供热单位应当制定供热事故应急专项预案，公布维修、抢险和供热服务电话，供热期间实行二十四小时值班制度。</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供热单位应当组建应急抢险队伍，配备应急备用热源，发现供热事故或者接到供热事故报告后，应当立即组织抢险抢修，及时启用应急备用热源，并按照规定及时报告有关部门。</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第三十八条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向供热经营企业供应水、电、煤炭、燃气、燃油或者热能的单位，应当保障供应，不得擅自中断。</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热源单位应优先保障城镇供热需求，按照以热定电的原则和合同约定，确保向供热单位提供符合供热质量要求的热源负荷。因热源负荷质量问题造成供热单位生产损失或造成热用户室内温度达不到规定标准的，热源单位应承担相应赔偿责任。</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第三十九条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热源单位、供热单位应当于每年供热期开始前完成供热设施年度检修、调试和燃料储备等工作，保证供热期内供热设施安全稳定运行。</w:t>
      </w:r>
    </w:p>
    <w:p>
      <w:pPr>
        <w:pStyle w:val="6"/>
        <w:spacing w:before="0" w:beforeAutospacing="0" w:after="0" w:afterAutospacing="0" w:line="580" w:lineRule="exact"/>
        <w:ind w:firstLine="640"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供热管网充水调试，应当于五日前告知热用户。</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第四十条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供热设施发生故障时，供热单位或热源单位应当立即组织抢修，后补办有关手续，公安、交通、住建、苏木乡镇人民政府和街道办事处、居民委员会、物业管理企业等相关单位应予以配合，抢修时须在现场设置警示标识并采取安全保护措施，抢修结束后应及时恢复原状。</w:t>
      </w:r>
    </w:p>
    <w:p>
      <w:pPr>
        <w:pStyle w:val="6"/>
        <w:spacing w:before="0" w:beforeAutospacing="0" w:after="0" w:afterAutospacing="0" w:line="580" w:lineRule="exact"/>
        <w:jc w:val="cente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第六章 附 则</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第四十一条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本办法由鄂尔多斯市人民政府负责解释。</w:t>
      </w:r>
    </w:p>
    <w:p>
      <w:pPr>
        <w:pStyle w:val="6"/>
        <w:spacing w:before="0" w:beforeAutospacing="0" w:after="0" w:afterAutospacing="0" w:line="580" w:lineRule="exact"/>
        <w:ind w:firstLine="642" w:firstLineChars="200"/>
        <w:jc w:val="both"/>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第四十二条</w:t>
      </w:r>
      <w:r>
        <w:rPr>
          <w:rFonts w:hint="eastAsia" w:ascii="仿宋_GB2312" w:eastAsia="仿宋_GB2312"/>
          <w:color w:val="000000" w:themeColor="text1"/>
          <w:sz w:val="32"/>
          <w:szCs w:val="32"/>
          <w14:textFill>
            <w14:solidFill>
              <w14:schemeClr w14:val="tx1"/>
            </w14:solidFill>
          </w14:textFill>
        </w:rPr>
        <w:t xml:space="preserve"> </w:t>
      </w:r>
      <w:r>
        <w:rPr>
          <w:rFonts w:ascii="仿宋_GB2312" w:eastAsia="仿宋_GB2312"/>
          <w:color w:val="000000" w:themeColor="text1"/>
          <w:sz w:val="32"/>
          <w:szCs w:val="32"/>
          <w14:textFill>
            <w14:solidFill>
              <w14:schemeClr w14:val="tx1"/>
            </w14:solidFill>
          </w14:textFill>
        </w:rPr>
        <w:t xml:space="preserve"> </w:t>
      </w:r>
      <w:r>
        <w:rPr>
          <w:rFonts w:hint="eastAsia" w:ascii="仿宋_GB2312" w:eastAsia="仿宋_GB2312"/>
          <w:color w:val="000000" w:themeColor="text1"/>
          <w:sz w:val="32"/>
          <w:szCs w:val="32"/>
          <w14:textFill>
            <w14:solidFill>
              <w14:schemeClr w14:val="tx1"/>
            </w14:solidFill>
          </w14:textFill>
        </w:rPr>
        <w:t>本办法自20</w:t>
      </w:r>
      <w:r>
        <w:rPr>
          <w:rFonts w:ascii="仿宋_GB2312" w:eastAsia="仿宋_GB2312"/>
          <w:color w:val="000000" w:themeColor="text1"/>
          <w:sz w:val="32"/>
          <w:szCs w:val="32"/>
          <w14:textFill>
            <w14:solidFill>
              <w14:schemeClr w14:val="tx1"/>
            </w14:solidFill>
          </w14:textFill>
        </w:rPr>
        <w:t>25</w:t>
      </w:r>
      <w:r>
        <w:rPr>
          <w:rFonts w:hint="eastAsia" w:ascii="仿宋_GB2312" w:eastAsia="仿宋_GB2312"/>
          <w:color w:val="000000" w:themeColor="text1"/>
          <w:sz w:val="32"/>
          <w:szCs w:val="32"/>
          <w14:textFill>
            <w14:solidFill>
              <w14:schemeClr w14:val="tx1"/>
            </w14:solidFill>
          </w14:textFill>
        </w:rPr>
        <w:t>年</w:t>
      </w:r>
      <w:r>
        <w:rPr>
          <w:rFonts w:ascii="仿宋_GB2312" w:eastAsia="仿宋_GB2312"/>
          <w:color w:val="000000" w:themeColor="text1"/>
          <w:sz w:val="32"/>
          <w:szCs w:val="32"/>
          <w14:textFill>
            <w14:solidFill>
              <w14:schemeClr w14:val="tx1"/>
            </w14:solidFill>
          </w14:textFill>
        </w:rPr>
        <w:t>9</w:t>
      </w:r>
      <w:r>
        <w:rPr>
          <w:rFonts w:hint="eastAsia" w:ascii="仿宋_GB2312" w:eastAsia="仿宋_GB2312"/>
          <w:color w:val="000000" w:themeColor="text1"/>
          <w:sz w:val="32"/>
          <w:szCs w:val="32"/>
          <w14:textFill>
            <w14:solidFill>
              <w14:schemeClr w14:val="tx1"/>
            </w14:solidFill>
          </w14:textFill>
        </w:rPr>
        <w:t>月1日起施行，有效期5年，施行期间国家、自治区另有规定的，从其规定。之前印发的《鄂尔多斯市城镇供热管理办法》（鄂府发〔201</w:t>
      </w:r>
      <w:r>
        <w:rPr>
          <w:rFonts w:ascii="仿宋_GB2312" w:eastAsia="仿宋_GB2312"/>
          <w:color w:val="000000" w:themeColor="text1"/>
          <w:sz w:val="32"/>
          <w:szCs w:val="32"/>
          <w14:textFill>
            <w14:solidFill>
              <w14:schemeClr w14:val="tx1"/>
            </w14:solidFill>
          </w14:textFill>
        </w:rPr>
        <w:t>3</w:t>
      </w:r>
      <w:r>
        <w:rPr>
          <w:rFonts w:hint="eastAsia" w:ascii="仿宋_GB2312" w:eastAsia="仿宋_GB2312"/>
          <w:color w:val="000000" w:themeColor="text1"/>
          <w:sz w:val="32"/>
          <w:szCs w:val="32"/>
          <w14:textFill>
            <w14:solidFill>
              <w14:schemeClr w14:val="tx1"/>
            </w14:solidFill>
          </w14:textFill>
        </w:rPr>
        <w:t>〕</w:t>
      </w:r>
      <w:r>
        <w:rPr>
          <w:rFonts w:ascii="仿宋_GB2312" w:eastAsia="仿宋_GB2312"/>
          <w:color w:val="000000" w:themeColor="text1"/>
          <w:sz w:val="32"/>
          <w:szCs w:val="32"/>
          <w14:textFill>
            <w14:solidFill>
              <w14:schemeClr w14:val="tx1"/>
            </w14:solidFill>
          </w14:textFill>
        </w:rPr>
        <w:t>8</w:t>
      </w:r>
      <w:r>
        <w:rPr>
          <w:rFonts w:hint="eastAsia" w:ascii="仿宋_GB2312" w:eastAsia="仿宋_GB2312"/>
          <w:color w:val="000000" w:themeColor="text1"/>
          <w:sz w:val="32"/>
          <w:szCs w:val="32"/>
          <w14:textFill>
            <w14:solidFill>
              <w14:schemeClr w14:val="tx1"/>
            </w14:solidFill>
          </w14:textFill>
        </w:rPr>
        <w:t>6号）同时废止。</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Nimbus Roman No9 L">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DejaVu Sans">
    <w:altName w:val="Segoe Print"/>
    <w:panose1 w:val="020B0603030804020204"/>
    <w:charset w:val="00"/>
    <w:family w:val="auto"/>
    <w:pitch w:val="default"/>
    <w:sig w:usb0="00000000" w:usb1="00000000" w:usb2="0A246029" w:usb3="0400200C" w:csb0="600001FF" w:csb1="DFFF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1"/>
  <w:bordersDoNotSurroundFooter w:val="1"/>
  <w:attachedTemplate r:id="rId1"/>
  <w:revisionView w:markup="0"/>
  <w:documentProtection w:edit="readOnly" w:formatting="1"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951"/>
    <w:rsid w:val="00483951"/>
    <w:rsid w:val="006C497F"/>
    <w:rsid w:val="00A2606D"/>
    <w:rsid w:val="00A95C3E"/>
    <w:rsid w:val="00F64FDD"/>
    <w:rsid w:val="0F77186B"/>
    <w:rsid w:val="535B4F5E"/>
    <w:rsid w:val="EE0FDC60"/>
    <w:rsid w:val="FFBE1A90"/>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Date"/>
    <w:basedOn w:val="1"/>
    <w:next w:val="1"/>
    <w:link w:val="12"/>
    <w:unhideWhenUsed/>
    <w:qFormat/>
    <w:uiPriority w:val="0"/>
    <w:pPr>
      <w:ind w:left="100" w:leftChars="2500"/>
    </w:pPr>
  </w:style>
  <w:style w:type="paragraph" w:styleId="3">
    <w:name w:val="Balloon Text"/>
    <w:basedOn w:val="1"/>
    <w:link w:val="13"/>
    <w:qFormat/>
    <w:uiPriority w:val="0"/>
    <w:rPr>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8">
    <w:name w:val="Strong"/>
    <w:basedOn w:val="7"/>
    <w:qFormat/>
    <w:uiPriority w:val="22"/>
    <w:rPr>
      <w:b/>
      <w:bCs/>
    </w:rPr>
  </w:style>
  <w:style w:type="character" w:customStyle="1" w:styleId="10">
    <w:name w:val="页眉 字符"/>
    <w:basedOn w:val="7"/>
    <w:link w:val="5"/>
    <w:qFormat/>
    <w:uiPriority w:val="0"/>
    <w:rPr>
      <w:kern w:val="2"/>
      <w:sz w:val="18"/>
      <w:szCs w:val="18"/>
    </w:rPr>
  </w:style>
  <w:style w:type="character" w:customStyle="1" w:styleId="11">
    <w:name w:val="页脚 字符"/>
    <w:basedOn w:val="7"/>
    <w:link w:val="4"/>
    <w:qFormat/>
    <w:uiPriority w:val="0"/>
    <w:rPr>
      <w:kern w:val="2"/>
      <w:sz w:val="18"/>
      <w:szCs w:val="18"/>
    </w:rPr>
  </w:style>
  <w:style w:type="character" w:customStyle="1" w:styleId="12">
    <w:name w:val="日期 字符"/>
    <w:basedOn w:val="7"/>
    <w:link w:val="2"/>
    <w:semiHidden/>
    <w:qFormat/>
    <w:uiPriority w:val="0"/>
    <w:rPr>
      <w:kern w:val="2"/>
      <w:sz w:val="21"/>
      <w:szCs w:val="24"/>
    </w:rPr>
  </w:style>
  <w:style w:type="character" w:customStyle="1" w:styleId="13">
    <w:name w:val="批注框文本 字符"/>
    <w:basedOn w:val="7"/>
    <w:link w:val="3"/>
    <w:qFormat/>
    <w:uiPriority w:val="0"/>
    <w:rPr>
      <w:kern w:val="2"/>
      <w:sz w:val="18"/>
      <w:szCs w:val="18"/>
    </w:rPr>
  </w:style>
  <w:style w:type="paragraph" w:customStyle="1" w:styleId="14">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user\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Template>
  <Pages>14</Pages>
  <Words>6115</Words>
  <Characters>296</Characters>
  <Lines>15</Lines>
  <Paragraphs>125</Paragraphs>
  <ScaleCrop>false</ScaleCrop>
  <LinksUpToDate>false</LinksUpToDate>
  <CharactersWithSpaces>6286</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2025-06-16T15:24:00Z</dcterms:created>
  <dc:creator>杨洋</dc:creator>
  <cp:lastModifiedBy>官网(官网:发布)</cp:lastModifiedBy>
  <cp:lastPrinted>2025-06-03T10:57:00Z</cp:lastPrinted>
  <dcterms:modified xsi:type="dcterms:W3CDTF">2025-06-17T10:10:26Z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eyJoZGlkIjoiZjRjMDZhY2ZmMmRkYzM3Mjk1MGY1MGZjZjc4Y2Y4NDAiLCJ1c2VySWQiOiI2NjQ4MDM5NzkifQ==</vt:lpwstr>
  </property>
  <property fmtid="{D5CDD505-2E9C-101B-9397-08002B2CF9AE}" pid="3" name="KSOProductBuildVer">
    <vt:lpwstr>2052-10.1.0.5975</vt:lpwstr>
  </property>
  <property fmtid="{D5CDD505-2E9C-101B-9397-08002B2CF9AE}" pid="4" name="ICV">
    <vt:lpwstr>154A571543DC4592A3B1745807599E20_13</vt:lpwstr>
  </property>
</Properties>
</file>