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adjustRightInd w:val="0"/>
        <w:snapToGrid w:val="0"/>
        <w:spacing w:line="580" w:lineRule="exact"/>
        <w:jc w:val="left"/>
        <w:rPr>
          <w:rFonts w:ascii="仿宋_GB2312" w:eastAsia="仿宋_GB2312"/>
          <w:kern w:val="0"/>
          <w:sz w:val="32"/>
          <w:szCs w:val="32"/>
        </w:rPr>
      </w:pPr>
      <w:bookmarkStart w:id="7" w:name="_GoBack"/>
      <w:bookmarkEnd w:id="7"/>
      <w:r>
        <w:rPr>
          <w:rFonts w:hint="eastAsia" w:ascii="仿宋_GB2312" w:eastAsia="仿宋_GB2312"/>
          <w:kern w:val="0"/>
          <w:sz w:val="32"/>
          <w:szCs w:val="32"/>
        </w:rPr>
        <w:t>附件1</w:t>
      </w:r>
    </w:p>
    <w:p>
      <w:pPr>
        <w:widowControl/>
        <w:shd w:val="clear" w:color="auto" w:fill="FFFFFF"/>
        <w:adjustRightInd w:val="0"/>
        <w:snapToGrid w:val="0"/>
        <w:spacing w:line="580" w:lineRule="exact"/>
        <w:jc w:val="center"/>
        <w:rPr>
          <w:rFonts w:ascii="方正小标宋简体" w:eastAsia="方正小标宋简体"/>
          <w:kern w:val="0"/>
          <w:sz w:val="44"/>
          <w:szCs w:val="44"/>
        </w:rPr>
      </w:pPr>
      <w:r>
        <w:rPr>
          <w:rFonts w:hint="eastAsia" w:ascii="方正小标宋简体" w:eastAsia="方正小标宋简体"/>
          <w:kern w:val="0"/>
          <w:sz w:val="44"/>
          <w:szCs w:val="44"/>
        </w:rPr>
        <w:t>鄂尔多斯市城镇供热保障金筹集</w:t>
      </w:r>
    </w:p>
    <w:p>
      <w:pPr>
        <w:widowControl/>
        <w:shd w:val="clear" w:color="auto" w:fill="FFFFFF"/>
        <w:adjustRightInd w:val="0"/>
        <w:snapToGrid w:val="0"/>
        <w:spacing w:line="580" w:lineRule="exact"/>
        <w:jc w:val="center"/>
        <w:rPr>
          <w:rFonts w:ascii="方正小标宋简体" w:eastAsia="方正小标宋简体"/>
          <w:kern w:val="0"/>
          <w:sz w:val="44"/>
          <w:szCs w:val="44"/>
        </w:rPr>
      </w:pPr>
      <w:r>
        <w:rPr>
          <w:rFonts w:hint="eastAsia" w:ascii="方正小标宋简体" w:eastAsia="方正小标宋简体"/>
          <w:kern w:val="0"/>
          <w:sz w:val="44"/>
          <w:szCs w:val="44"/>
        </w:rPr>
        <w:t>使用管理办法（审议稿）</w:t>
      </w:r>
    </w:p>
    <w:p>
      <w:pPr>
        <w:spacing w:line="580" w:lineRule="exact"/>
        <w:jc w:val="center"/>
        <w:rPr>
          <w:rFonts w:ascii="黑体" w:hAnsi="黑体" w:eastAsia="黑体"/>
          <w:kern w:val="0"/>
          <w:sz w:val="32"/>
          <w:szCs w:val="32"/>
        </w:rPr>
      </w:pPr>
    </w:p>
    <w:p>
      <w:pPr>
        <w:spacing w:line="580" w:lineRule="exact"/>
        <w:jc w:val="center"/>
        <w:rPr>
          <w:rFonts w:ascii="黑体" w:hAnsi="黑体" w:eastAsia="黑体"/>
          <w:kern w:val="0"/>
          <w:sz w:val="32"/>
          <w:szCs w:val="32"/>
        </w:rPr>
      </w:pPr>
      <w:r>
        <w:rPr>
          <w:rFonts w:hint="eastAsia" w:ascii="黑体" w:hAnsi="黑体" w:eastAsia="黑体"/>
          <w:kern w:val="0"/>
          <w:sz w:val="32"/>
          <w:szCs w:val="32"/>
        </w:rPr>
        <w:t xml:space="preserve">第一章 </w:t>
      </w:r>
      <w:r>
        <w:rPr>
          <w:rFonts w:ascii="黑体" w:hAnsi="黑体" w:eastAsia="黑体"/>
          <w:kern w:val="0"/>
          <w:sz w:val="32"/>
          <w:szCs w:val="32"/>
        </w:rPr>
        <w:t xml:space="preserve"> </w:t>
      </w:r>
      <w:r>
        <w:rPr>
          <w:rFonts w:hint="eastAsia" w:ascii="黑体" w:hAnsi="黑体" w:eastAsia="黑体"/>
          <w:kern w:val="0"/>
          <w:sz w:val="32"/>
          <w:szCs w:val="32"/>
        </w:rPr>
        <w:t>总则</w:t>
      </w:r>
    </w:p>
    <w:p>
      <w:pPr>
        <w:spacing w:line="580" w:lineRule="exact"/>
        <w:jc w:val="center"/>
        <w:rPr>
          <w:rFonts w:ascii="黑体" w:hAnsi="黑体" w:eastAsia="黑体"/>
          <w:kern w:val="0"/>
          <w:sz w:val="32"/>
          <w:szCs w:val="32"/>
        </w:rPr>
      </w:pPr>
    </w:p>
    <w:p>
      <w:pPr>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第一条</w:t>
      </w:r>
      <w:bookmarkStart w:id="0" w:name="1"/>
      <w:bookmarkEnd w:id="0"/>
      <w:r>
        <w:rPr>
          <w:rFonts w:hint="eastAsia" w:ascii="仿宋_GB2312" w:eastAsia="仿宋_GB2312"/>
          <w:kern w:val="0"/>
          <w:sz w:val="32"/>
          <w:szCs w:val="32"/>
        </w:rPr>
        <w:t xml:space="preserve"> 为建立健全城镇供热保障金制度，规范城镇供热保障金的</w:t>
      </w:r>
      <w:bookmarkStart w:id="1" w:name="_Hlk226455049"/>
      <w:r>
        <w:rPr>
          <w:rFonts w:hint="eastAsia" w:ascii="仿宋_GB2312" w:eastAsia="仿宋_GB2312"/>
          <w:color w:val="000000" w:themeColor="text1"/>
          <w:kern w:val="0"/>
          <w:sz w:val="32"/>
          <w:szCs w:val="32"/>
          <w14:textFill>
            <w14:solidFill>
              <w14:schemeClr w14:val="tx1"/>
            </w14:solidFill>
          </w14:textFill>
        </w:rPr>
        <w:t>筹集、</w:t>
      </w:r>
      <w:r>
        <w:rPr>
          <w:rFonts w:hint="eastAsia" w:ascii="仿宋_GB2312" w:eastAsia="仿宋_GB2312"/>
          <w:kern w:val="0"/>
          <w:sz w:val="32"/>
          <w:szCs w:val="32"/>
        </w:rPr>
        <w:t>使用和管理工作</w:t>
      </w:r>
      <w:bookmarkEnd w:id="1"/>
      <w:r>
        <w:rPr>
          <w:rFonts w:hint="eastAsia" w:ascii="仿宋_GB2312" w:eastAsia="仿宋_GB2312"/>
          <w:kern w:val="0"/>
          <w:sz w:val="32"/>
          <w:szCs w:val="32"/>
        </w:rPr>
        <w:t>，提高城镇供热保障能力，确保城镇供热事业健康发展，根据《内蒙古自治区城镇供热条例》等有关规定，紧紧围绕铸牢中华民族共同体意识工作主线，结合我市实际，制定本办法。</w:t>
      </w:r>
    </w:p>
    <w:p>
      <w:pPr>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第二条 本办法适用于鄂尔多斯市城镇供热保障金筹集、使用和管理。</w:t>
      </w:r>
    </w:p>
    <w:p>
      <w:pPr>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第三条</w:t>
      </w:r>
      <w:bookmarkStart w:id="2" w:name="3"/>
      <w:bookmarkEnd w:id="2"/>
      <w:r>
        <w:rPr>
          <w:rFonts w:hint="eastAsia" w:ascii="仿宋_GB2312" w:eastAsia="仿宋_GB2312"/>
          <w:kern w:val="0"/>
          <w:sz w:val="32"/>
          <w:szCs w:val="32"/>
        </w:rPr>
        <w:t xml:space="preserve"> 市住房和城乡建设局负责市级城镇供热保障金的统筹使用和管理工作；市财政局负责筹集安排市级供热保障金。发改、财政、审计等部门依据各自的职能，对城镇供热保障金的统筹、使用和管理进行监督。</w:t>
      </w:r>
    </w:p>
    <w:p>
      <w:pPr>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第四条 旗区供热主管部门、街道办事处（</w:t>
      </w:r>
      <w:r>
        <w:rPr>
          <w:rFonts w:hint="eastAsia" w:ascii="仿宋_GB2312" w:eastAsia="仿宋_GB2312"/>
          <w:color w:val="000000" w:themeColor="text1"/>
          <w:kern w:val="0"/>
          <w:sz w:val="32"/>
          <w:szCs w:val="32"/>
          <w14:textFill>
            <w14:solidFill>
              <w14:schemeClr w14:val="tx1"/>
            </w14:solidFill>
          </w14:textFill>
        </w:rPr>
        <w:t>苏木乡</w:t>
      </w:r>
      <w:r>
        <w:rPr>
          <w:rFonts w:hint="eastAsia" w:ascii="仿宋_GB2312" w:eastAsia="仿宋_GB2312"/>
          <w:kern w:val="0"/>
          <w:sz w:val="32"/>
          <w:szCs w:val="32"/>
        </w:rPr>
        <w:t>镇）、供热单位是城镇供热保障金的使用主体。</w:t>
      </w:r>
    </w:p>
    <w:p>
      <w:pPr>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第五条 城镇供热保障金实行市和旗区财政分级承担、年度计划管理、集中统一使用。</w:t>
      </w:r>
    </w:p>
    <w:p>
      <w:pPr>
        <w:spacing w:line="580" w:lineRule="exact"/>
        <w:ind w:firstLine="640" w:firstLineChars="200"/>
        <w:rPr>
          <w:rFonts w:ascii="仿宋_GB2312" w:eastAsia="仿宋_GB2312"/>
          <w:kern w:val="0"/>
          <w:sz w:val="32"/>
          <w:szCs w:val="32"/>
        </w:rPr>
      </w:pPr>
    </w:p>
    <w:p>
      <w:pPr>
        <w:spacing w:line="580" w:lineRule="exact"/>
        <w:jc w:val="center"/>
        <w:rPr>
          <w:rFonts w:ascii="黑体" w:hAnsi="黑体" w:eastAsia="黑体"/>
          <w:kern w:val="0"/>
          <w:sz w:val="32"/>
          <w:szCs w:val="32"/>
        </w:rPr>
      </w:pPr>
      <w:r>
        <w:rPr>
          <w:rFonts w:hint="eastAsia" w:ascii="黑体" w:hAnsi="黑体" w:eastAsia="黑体"/>
          <w:kern w:val="0"/>
          <w:sz w:val="32"/>
          <w:szCs w:val="32"/>
        </w:rPr>
        <w:t xml:space="preserve">第二章 </w:t>
      </w:r>
      <w:r>
        <w:rPr>
          <w:rFonts w:ascii="黑体" w:hAnsi="黑体" w:eastAsia="黑体"/>
          <w:kern w:val="0"/>
          <w:sz w:val="32"/>
          <w:szCs w:val="32"/>
        </w:rPr>
        <w:t xml:space="preserve"> </w:t>
      </w:r>
      <w:r>
        <w:rPr>
          <w:rFonts w:hint="eastAsia" w:ascii="黑体" w:hAnsi="黑体" w:eastAsia="黑体"/>
          <w:kern w:val="0"/>
          <w:sz w:val="32"/>
          <w:szCs w:val="32"/>
        </w:rPr>
        <w:t>资金筹集与使用</w:t>
      </w:r>
    </w:p>
    <w:p>
      <w:pPr>
        <w:spacing w:line="580" w:lineRule="exact"/>
        <w:jc w:val="center"/>
        <w:rPr>
          <w:rFonts w:ascii="黑体" w:hAnsi="黑体" w:eastAsia="黑体"/>
          <w:kern w:val="0"/>
          <w:sz w:val="32"/>
          <w:szCs w:val="32"/>
        </w:rPr>
      </w:pPr>
    </w:p>
    <w:p>
      <w:pPr>
        <w:spacing w:line="580" w:lineRule="exact"/>
        <w:ind w:firstLine="640" w:firstLineChars="200"/>
        <w:rPr>
          <w:rFonts w:ascii="仿宋_GB2312" w:eastAsia="仿宋_GB2312"/>
          <w:kern w:val="0"/>
          <w:sz w:val="32"/>
          <w:szCs w:val="32"/>
        </w:rPr>
      </w:pPr>
      <w:bookmarkStart w:id="3" w:name="6"/>
      <w:bookmarkEnd w:id="3"/>
      <w:r>
        <w:rPr>
          <w:rFonts w:hint="eastAsia" w:ascii="仿宋_GB2312" w:eastAsia="仿宋_GB2312"/>
          <w:kern w:val="0"/>
          <w:sz w:val="32"/>
          <w:szCs w:val="32"/>
        </w:rPr>
        <w:t>第六条 城镇供热保障金的筹集：</w:t>
      </w:r>
    </w:p>
    <w:p>
      <w:pPr>
        <w:spacing w:line="580" w:lineRule="exact"/>
        <w:ind w:firstLine="640" w:firstLineChars="200"/>
        <w:rPr>
          <w:rFonts w:ascii="仿宋_GB2312" w:eastAsia="仿宋_GB2312"/>
          <w:color w:val="000000"/>
          <w:kern w:val="0"/>
          <w:sz w:val="32"/>
          <w:szCs w:val="32"/>
        </w:rPr>
      </w:pPr>
      <w:r>
        <w:rPr>
          <w:rFonts w:hint="eastAsia" w:ascii="仿宋_GB2312" w:eastAsia="仿宋_GB2312"/>
          <w:kern w:val="0"/>
          <w:sz w:val="32"/>
          <w:szCs w:val="32"/>
        </w:rPr>
        <w:t>（一）市级城镇供热保障金每年由市级财政安排不低于2000万元；</w:t>
      </w:r>
    </w:p>
    <w:p>
      <w:pPr>
        <w:spacing w:line="580" w:lineRule="exact"/>
        <w:ind w:firstLine="640" w:firstLineChars="200"/>
        <w:rPr>
          <w:rFonts w:ascii="仿宋_GB2312" w:eastAsia="仿宋_GB2312"/>
          <w:strike/>
          <w:sz w:val="32"/>
          <w:szCs w:val="32"/>
        </w:rPr>
      </w:pPr>
      <w:r>
        <w:rPr>
          <w:rFonts w:hint="eastAsia" w:ascii="仿宋_GB2312" w:eastAsia="仿宋_GB2312"/>
          <w:color w:val="000000" w:themeColor="text1"/>
          <w:sz w:val="32"/>
          <w:szCs w:val="32"/>
          <w14:textFill>
            <w14:solidFill>
              <w14:schemeClr w14:val="tx1"/>
            </w14:solidFill>
          </w14:textFill>
        </w:rPr>
        <w:t>（二）</w:t>
      </w:r>
      <w:r>
        <w:rPr>
          <w:rFonts w:hint="eastAsia" w:ascii="仿宋_GB2312" w:eastAsia="仿宋_GB2312"/>
          <w:color w:val="000000" w:themeColor="text1"/>
          <w:kern w:val="0"/>
          <w:sz w:val="32"/>
          <w:szCs w:val="32"/>
          <w14:textFill>
            <w14:solidFill>
              <w14:schemeClr w14:val="tx1"/>
            </w14:solidFill>
          </w14:textFill>
        </w:rPr>
        <w:t>旗区城镇供热保障金每年按照供热设施及管网的维修、养护、更新项目计划，由旗区人民政府安排相应比例的财政预算资金。</w:t>
      </w:r>
    </w:p>
    <w:p>
      <w:pPr>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第七条 市级城镇供热保障金通过“以奖代补”的形式，</w:t>
      </w:r>
      <w:bookmarkStart w:id="4" w:name="_Hlk226453800"/>
      <w:r>
        <w:rPr>
          <w:rFonts w:hint="eastAsia" w:ascii="仿宋_GB2312" w:eastAsia="仿宋_GB2312"/>
          <w:kern w:val="0"/>
          <w:sz w:val="32"/>
          <w:szCs w:val="32"/>
        </w:rPr>
        <w:t>在项目完工</w:t>
      </w:r>
      <w:r>
        <w:rPr>
          <w:rFonts w:hint="eastAsia" w:ascii="仿宋_GB2312" w:eastAsia="仿宋_GB2312"/>
          <w:color w:val="000000" w:themeColor="text1"/>
          <w:kern w:val="0"/>
          <w:sz w:val="32"/>
          <w:szCs w:val="32"/>
          <w14:textFill>
            <w14:solidFill>
              <w14:schemeClr w14:val="tx1"/>
            </w14:solidFill>
          </w14:textFill>
        </w:rPr>
        <w:t>验收合格</w:t>
      </w:r>
      <w:r>
        <w:rPr>
          <w:rFonts w:hint="eastAsia" w:ascii="仿宋_GB2312" w:eastAsia="仿宋_GB2312"/>
          <w:kern w:val="0"/>
          <w:sz w:val="32"/>
          <w:szCs w:val="32"/>
        </w:rPr>
        <w:t>后予以补助</w:t>
      </w:r>
      <w:bookmarkEnd w:id="4"/>
      <w:r>
        <w:rPr>
          <w:rFonts w:hint="eastAsia" w:ascii="仿宋_GB2312" w:eastAsia="仿宋_GB2312"/>
          <w:kern w:val="0"/>
          <w:sz w:val="32"/>
          <w:szCs w:val="32"/>
        </w:rPr>
        <w:t>，原则上不超过项目总投资的10%。</w:t>
      </w:r>
      <w:r>
        <w:rPr>
          <w:rFonts w:hint="eastAsia" w:ascii="仿宋_GB2312" w:eastAsia="仿宋_GB2312"/>
          <w:color w:val="000000" w:themeColor="text1"/>
          <w:kern w:val="0"/>
          <w:sz w:val="32"/>
          <w:szCs w:val="32"/>
          <w14:textFill>
            <w14:solidFill>
              <w14:schemeClr w14:val="tx1"/>
            </w14:solidFill>
          </w14:textFill>
        </w:rPr>
        <w:t>以奖代补资金可根据旗区供热保障工作完成情况、供热期服务质量等进行综合评定后拨付。</w:t>
      </w:r>
    </w:p>
    <w:p>
      <w:pPr>
        <w:spacing w:line="580" w:lineRule="exact"/>
        <w:ind w:firstLine="660"/>
        <w:rPr>
          <w:rFonts w:ascii="仿宋_GB2312" w:hAnsi="仿宋_GB2312" w:eastAsia="仿宋_GB2312" w:cs="仿宋_GB2312"/>
          <w:kern w:val="0"/>
          <w:sz w:val="32"/>
          <w:szCs w:val="32"/>
        </w:rPr>
      </w:pPr>
      <w:r>
        <w:rPr>
          <w:rFonts w:hint="eastAsia" w:ascii="仿宋_GB2312" w:eastAsia="仿宋_GB2312"/>
          <w:kern w:val="0"/>
          <w:sz w:val="32"/>
          <w:szCs w:val="32"/>
        </w:rPr>
        <w:t>第八条</w:t>
      </w:r>
      <w:r>
        <w:rPr>
          <w:rFonts w:hint="eastAsia" w:ascii="仿宋_GB2312" w:hAnsi="仿宋_GB2312" w:eastAsia="仿宋_GB2312" w:cs="仿宋_GB2312"/>
          <w:kern w:val="0"/>
          <w:sz w:val="32"/>
          <w:szCs w:val="32"/>
        </w:rPr>
        <w:t xml:space="preserve"> 城镇供热保障金使用范围：</w:t>
      </w:r>
    </w:p>
    <w:p>
      <w:pPr>
        <w:spacing w:line="580" w:lineRule="exact"/>
        <w:ind w:firstLine="660"/>
        <w:rPr>
          <w:rFonts w:ascii="仿宋_GB2312" w:eastAsia="仿宋_GB2312"/>
          <w:kern w:val="0"/>
          <w:sz w:val="32"/>
          <w:szCs w:val="32"/>
        </w:rPr>
      </w:pPr>
      <w:r>
        <w:rPr>
          <w:rFonts w:hint="eastAsia" w:ascii="仿宋_GB2312" w:hAnsi="仿宋_GB2312" w:eastAsia="仿宋_GB2312" w:cs="仿宋_GB2312"/>
          <w:kern w:val="0"/>
          <w:sz w:val="32"/>
          <w:szCs w:val="32"/>
        </w:rPr>
        <w:t>（一）</w:t>
      </w:r>
      <w:r>
        <w:rPr>
          <w:rFonts w:hint="eastAsia" w:ascii="仿宋_GB2312" w:hAnsi="仿宋_GB2312" w:eastAsia="仿宋_GB2312" w:cs="仿宋_GB2312"/>
          <w:color w:val="000000" w:themeColor="text1"/>
          <w:kern w:val="0"/>
          <w:sz w:val="32"/>
          <w:szCs w:val="32"/>
          <w14:textFill>
            <w14:solidFill>
              <w14:schemeClr w14:val="tx1"/>
            </w14:solidFill>
          </w14:textFill>
        </w:rPr>
        <w:t>居住建筑</w:t>
      </w:r>
      <w:r>
        <w:rPr>
          <w:rFonts w:hint="eastAsia" w:ascii="仿宋_GB2312" w:eastAsia="仿宋_GB2312"/>
          <w:kern w:val="0"/>
          <w:sz w:val="32"/>
          <w:szCs w:val="32"/>
        </w:rPr>
        <w:t>热用户分户终端计量装置或者入户端口以外供热设施及管网的维修、养护、更新；</w:t>
      </w:r>
    </w:p>
    <w:p>
      <w:pPr>
        <w:spacing w:line="580" w:lineRule="exact"/>
        <w:ind w:firstLine="660"/>
        <w:rPr>
          <w:rFonts w:ascii="仿宋_GB2312" w:hAnsi="仿宋_GB2312" w:eastAsia="仿宋_GB2312" w:cs="仿宋_GB2312"/>
          <w:kern w:val="0"/>
          <w:sz w:val="32"/>
          <w:szCs w:val="32"/>
        </w:rPr>
      </w:pPr>
      <w:r>
        <w:rPr>
          <w:rFonts w:hint="eastAsia" w:ascii="仿宋_GB2312" w:eastAsia="仿宋_GB2312"/>
          <w:kern w:val="0"/>
          <w:sz w:val="32"/>
          <w:szCs w:val="32"/>
        </w:rPr>
        <w:t>（二）</w:t>
      </w:r>
      <w:r>
        <w:rPr>
          <w:rFonts w:hint="eastAsia" w:ascii="仿宋_GB2312" w:hAnsi="仿宋_GB2312" w:eastAsia="仿宋_GB2312" w:cs="仿宋_GB2312"/>
          <w:kern w:val="0"/>
          <w:sz w:val="32"/>
          <w:szCs w:val="32"/>
        </w:rPr>
        <w:t>城镇居民供热期</w:t>
      </w:r>
      <w:r>
        <w:rPr>
          <w:rFonts w:hint="eastAsia" w:ascii="仿宋_GB2312" w:eastAsia="仿宋_GB2312"/>
          <w:kern w:val="0"/>
          <w:sz w:val="32"/>
          <w:szCs w:val="32"/>
        </w:rPr>
        <w:t>供热突发事件的应急保障；</w:t>
      </w:r>
    </w:p>
    <w:p>
      <w:pPr>
        <w:spacing w:line="580" w:lineRule="exact"/>
        <w:ind w:firstLine="660"/>
        <w:rPr>
          <w:rFonts w:ascii="仿宋_GB2312" w:eastAsia="仿宋_GB2312"/>
          <w:kern w:val="0"/>
          <w:sz w:val="32"/>
          <w:szCs w:val="32"/>
        </w:rPr>
      </w:pPr>
      <w:r>
        <w:rPr>
          <w:rFonts w:hint="eastAsia" w:ascii="仿宋_GB2312" w:eastAsia="仿宋_GB2312"/>
          <w:kern w:val="0"/>
          <w:sz w:val="32"/>
          <w:szCs w:val="32"/>
        </w:rPr>
        <w:t>（三）市人民政府研究决定的其他供热应急保障事项。</w:t>
      </w:r>
    </w:p>
    <w:p>
      <w:pPr>
        <w:spacing w:line="580" w:lineRule="exact"/>
        <w:ind w:firstLine="660"/>
        <w:rPr>
          <w:rFonts w:ascii="仿宋_GB2312" w:eastAsia="仿宋_GB2312"/>
          <w:kern w:val="0"/>
          <w:sz w:val="32"/>
          <w:szCs w:val="32"/>
        </w:rPr>
      </w:pPr>
      <w:r>
        <w:rPr>
          <w:rFonts w:hint="eastAsia" w:ascii="仿宋_GB2312" w:hAnsi="仿宋_GB2312" w:eastAsia="仿宋_GB2312" w:cs="仿宋_GB2312"/>
          <w:kern w:val="0"/>
          <w:sz w:val="32"/>
          <w:szCs w:val="32"/>
        </w:rPr>
        <w:t xml:space="preserve">第九条 </w:t>
      </w:r>
      <w:r>
        <w:rPr>
          <w:rFonts w:hint="eastAsia" w:ascii="仿宋_GB2312" w:eastAsia="仿宋_GB2312"/>
          <w:kern w:val="0"/>
          <w:sz w:val="32"/>
          <w:szCs w:val="32"/>
        </w:rPr>
        <w:t>下列情况不在</w:t>
      </w:r>
      <w:r>
        <w:rPr>
          <w:rFonts w:hint="eastAsia" w:ascii="仿宋_GB2312" w:hAnsi="仿宋_GB2312" w:eastAsia="仿宋_GB2312" w:cs="仿宋_GB2312"/>
          <w:kern w:val="0"/>
          <w:sz w:val="32"/>
          <w:szCs w:val="32"/>
        </w:rPr>
        <w:t>城镇供热保障金</w:t>
      </w:r>
      <w:r>
        <w:rPr>
          <w:rFonts w:hint="eastAsia" w:ascii="仿宋_GB2312" w:eastAsia="仿宋_GB2312"/>
          <w:color w:val="000000" w:themeColor="text1"/>
          <w:kern w:val="0"/>
          <w:sz w:val="32"/>
          <w:szCs w:val="32"/>
          <w14:textFill>
            <w14:solidFill>
              <w14:schemeClr w14:val="tx1"/>
            </w14:solidFill>
          </w14:textFill>
        </w:rPr>
        <w:t>使用</w:t>
      </w:r>
      <w:r>
        <w:rPr>
          <w:rFonts w:hint="eastAsia" w:ascii="仿宋_GB2312" w:eastAsia="仿宋_GB2312"/>
          <w:kern w:val="0"/>
          <w:sz w:val="32"/>
          <w:szCs w:val="32"/>
        </w:rPr>
        <w:t>范围：</w:t>
      </w:r>
    </w:p>
    <w:p>
      <w:pPr>
        <w:spacing w:line="580" w:lineRule="exact"/>
        <w:ind w:firstLine="660"/>
        <w:rPr>
          <w:rFonts w:ascii="仿宋_GB2312" w:eastAsia="仿宋_GB2312"/>
          <w:kern w:val="0"/>
          <w:sz w:val="32"/>
          <w:szCs w:val="32"/>
        </w:rPr>
      </w:pPr>
      <w:r>
        <w:rPr>
          <w:rFonts w:hint="eastAsia" w:ascii="仿宋_GB2312" w:eastAsia="仿宋_GB2312"/>
          <w:kern w:val="0"/>
          <w:sz w:val="32"/>
          <w:szCs w:val="32"/>
        </w:rPr>
        <w:t>（一）因供热单位运行管理不善引发设备及管网事故的；</w:t>
      </w:r>
    </w:p>
    <w:p>
      <w:pPr>
        <w:spacing w:line="580" w:lineRule="exact"/>
        <w:ind w:firstLine="660"/>
        <w:rPr>
          <w:rFonts w:ascii="仿宋_GB2312" w:eastAsia="仿宋_GB2312"/>
          <w:kern w:val="0"/>
          <w:sz w:val="32"/>
          <w:szCs w:val="32"/>
        </w:rPr>
      </w:pPr>
      <w:r>
        <w:rPr>
          <w:rFonts w:hint="eastAsia" w:ascii="仿宋_GB2312" w:eastAsia="仿宋_GB2312"/>
          <w:kern w:val="0"/>
          <w:sz w:val="32"/>
          <w:szCs w:val="32"/>
        </w:rPr>
        <w:t>（二）供热单位管理的换热站等内部设施设备维修改造的。</w:t>
      </w:r>
    </w:p>
    <w:p>
      <w:pPr>
        <w:spacing w:line="580" w:lineRule="exact"/>
        <w:ind w:firstLine="640" w:firstLineChars="200"/>
        <w:rPr>
          <w:rFonts w:ascii="仿宋_GB2312" w:eastAsia="仿宋_GB2312"/>
          <w:color w:val="FF0000"/>
        </w:rPr>
      </w:pPr>
      <w:r>
        <w:rPr>
          <w:rFonts w:hint="eastAsia" w:ascii="仿宋_GB2312" w:eastAsia="仿宋_GB2312"/>
          <w:kern w:val="0"/>
          <w:sz w:val="32"/>
          <w:szCs w:val="32"/>
        </w:rPr>
        <w:t xml:space="preserve">第十条 </w:t>
      </w:r>
      <w:r>
        <w:rPr>
          <w:rFonts w:hint="eastAsia" w:ascii="仿宋_GB2312" w:eastAsia="仿宋_GB2312"/>
          <w:color w:val="000000" w:themeColor="text1"/>
          <w:kern w:val="0"/>
          <w:sz w:val="32"/>
          <w:szCs w:val="32"/>
          <w14:textFill>
            <w14:solidFill>
              <w14:schemeClr w14:val="tx1"/>
            </w14:solidFill>
          </w14:textFill>
        </w:rPr>
        <w:t>市级</w:t>
      </w:r>
      <w:r>
        <w:rPr>
          <w:rFonts w:hint="eastAsia" w:ascii="仿宋_GB2312" w:eastAsia="仿宋_GB2312"/>
          <w:kern w:val="0"/>
          <w:sz w:val="32"/>
          <w:szCs w:val="32"/>
        </w:rPr>
        <w:t>城镇供热保障金使用应当按照逐级申报的原则，旗区供热主管部门要对项目申请单位提交的材料进行初审，审核通过后报市住房和城乡建设局审定。</w:t>
      </w:r>
    </w:p>
    <w:p>
      <w:pPr>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第十一条 市住房和城乡建设局、市财政局根据项目情况、紧急程度以及市级城镇供热保障金使用情况核定项目资金并予以拨付。</w:t>
      </w:r>
    </w:p>
    <w:p>
      <w:pPr>
        <w:spacing w:line="580" w:lineRule="exact"/>
        <w:ind w:firstLine="640" w:firstLineChars="200"/>
        <w:rPr>
          <w:rFonts w:ascii="仿宋_GB2312" w:eastAsia="仿宋_GB2312"/>
          <w:sz w:val="32"/>
          <w:szCs w:val="32"/>
        </w:rPr>
      </w:pPr>
      <w:r>
        <w:rPr>
          <w:rFonts w:hint="eastAsia" w:ascii="仿宋_GB2312" w:eastAsia="仿宋_GB2312"/>
          <w:sz w:val="32"/>
          <w:szCs w:val="32"/>
        </w:rPr>
        <w:t xml:space="preserve">第十二条 </w:t>
      </w:r>
      <w:bookmarkStart w:id="5" w:name="18"/>
      <w:bookmarkEnd w:id="5"/>
      <w:r>
        <w:rPr>
          <w:rFonts w:hint="eastAsia" w:ascii="仿宋_GB2312" w:eastAsia="仿宋_GB2312"/>
          <w:kern w:val="0"/>
          <w:sz w:val="32"/>
          <w:szCs w:val="32"/>
        </w:rPr>
        <w:t>申请使用市级供热保障金应提供申请报告、旗区财政资金预算、工程审计报告、施工合同及施工前后照片（备注拍摄时间）等申报材料，申报材料由市住房和城乡建设局统一规范。</w:t>
      </w:r>
    </w:p>
    <w:p>
      <w:pPr>
        <w:shd w:val="solid" w:color="FFFFFF" w:fill="auto"/>
        <w:autoSpaceDN w:val="0"/>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 xml:space="preserve">第十三条 </w:t>
      </w:r>
      <w:r>
        <w:rPr>
          <w:rFonts w:hint="eastAsia" w:ascii="仿宋_GB2312" w:eastAsia="仿宋_GB2312"/>
          <w:sz w:val="32"/>
          <w:szCs w:val="32"/>
        </w:rPr>
        <w:t>供热期间因突发事故等应急抢修事件须立即抢修的，供热单位应立即组织抢修，在完成抢修后按照前款规定的材料向旗区供热</w:t>
      </w:r>
      <w:r>
        <w:rPr>
          <w:rFonts w:hint="eastAsia" w:ascii="仿宋_GB2312" w:eastAsia="仿宋_GB2312"/>
          <w:color w:val="000000" w:themeColor="text1"/>
          <w:sz w:val="32"/>
          <w:szCs w:val="32"/>
          <w14:textFill>
            <w14:solidFill>
              <w14:schemeClr w14:val="tx1"/>
            </w14:solidFill>
          </w14:textFill>
        </w:rPr>
        <w:t>主管</w:t>
      </w:r>
      <w:r>
        <w:rPr>
          <w:rFonts w:hint="eastAsia" w:ascii="仿宋_GB2312" w:eastAsia="仿宋_GB2312"/>
          <w:sz w:val="32"/>
          <w:szCs w:val="32"/>
        </w:rPr>
        <w:t>部门提出申请。</w:t>
      </w:r>
    </w:p>
    <w:p>
      <w:pPr>
        <w:shd w:val="solid" w:color="FFFFFF" w:fill="auto"/>
        <w:autoSpaceDN w:val="0"/>
        <w:spacing w:line="580" w:lineRule="exact"/>
        <w:ind w:firstLine="640" w:firstLineChars="200"/>
        <w:jc w:val="left"/>
        <w:rPr>
          <w:rFonts w:ascii="仿宋_GB2312" w:eastAsia="仿宋_GB2312"/>
          <w:kern w:val="0"/>
          <w:sz w:val="32"/>
          <w:szCs w:val="32"/>
        </w:rPr>
      </w:pPr>
    </w:p>
    <w:p>
      <w:pPr>
        <w:shd w:val="solid" w:color="FFFFFF" w:fill="auto"/>
        <w:autoSpaceDN w:val="0"/>
        <w:spacing w:line="580" w:lineRule="exact"/>
        <w:jc w:val="center"/>
        <w:rPr>
          <w:rFonts w:ascii="黑体" w:hAnsi="黑体" w:eastAsia="黑体"/>
          <w:kern w:val="0"/>
          <w:sz w:val="32"/>
          <w:szCs w:val="32"/>
        </w:rPr>
      </w:pPr>
      <w:r>
        <w:rPr>
          <w:rFonts w:hint="eastAsia" w:ascii="黑体" w:hAnsi="黑体" w:eastAsia="黑体"/>
          <w:kern w:val="0"/>
          <w:sz w:val="32"/>
          <w:szCs w:val="32"/>
        </w:rPr>
        <w:t xml:space="preserve">第三章 </w:t>
      </w:r>
      <w:r>
        <w:rPr>
          <w:rFonts w:ascii="黑体" w:hAnsi="黑体" w:eastAsia="黑体"/>
          <w:kern w:val="0"/>
          <w:sz w:val="32"/>
          <w:szCs w:val="32"/>
        </w:rPr>
        <w:t xml:space="preserve"> </w:t>
      </w:r>
      <w:r>
        <w:rPr>
          <w:rFonts w:hint="eastAsia" w:ascii="黑体" w:hAnsi="黑体" w:eastAsia="黑体"/>
          <w:kern w:val="0"/>
          <w:sz w:val="32"/>
          <w:szCs w:val="32"/>
        </w:rPr>
        <w:t>监督管理</w:t>
      </w:r>
    </w:p>
    <w:p>
      <w:pPr>
        <w:shd w:val="solid" w:color="FFFFFF" w:fill="auto"/>
        <w:autoSpaceDN w:val="0"/>
        <w:spacing w:line="580" w:lineRule="exact"/>
        <w:jc w:val="center"/>
        <w:rPr>
          <w:rFonts w:ascii="仿宋_GB2312" w:eastAsia="仿宋_GB2312"/>
          <w:kern w:val="0"/>
          <w:sz w:val="32"/>
          <w:szCs w:val="32"/>
        </w:rPr>
      </w:pPr>
    </w:p>
    <w:p>
      <w:pPr>
        <w:shd w:val="solid" w:color="FFFFFF" w:fill="auto"/>
        <w:autoSpaceDN w:val="0"/>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第十四条</w:t>
      </w:r>
      <w:r>
        <w:rPr>
          <w:rFonts w:ascii="仿宋_GB2312" w:eastAsia="仿宋_GB2312"/>
          <w:color w:val="000000" w:themeColor="text1"/>
          <w:kern w:val="0"/>
          <w:sz w:val="32"/>
          <w:szCs w:val="32"/>
          <w14:textFill>
            <w14:solidFill>
              <w14:schemeClr w14:val="tx1"/>
            </w14:solidFill>
          </w14:textFill>
        </w:rPr>
        <w:t xml:space="preserve"> </w:t>
      </w:r>
      <w:r>
        <w:rPr>
          <w:rFonts w:hint="eastAsia" w:ascii="仿宋_GB2312" w:eastAsia="仿宋_GB2312"/>
          <w:color w:val="000000" w:themeColor="text1"/>
          <w:kern w:val="0"/>
          <w:sz w:val="32"/>
          <w:szCs w:val="32"/>
          <w14:textFill>
            <w14:solidFill>
              <w14:schemeClr w14:val="tx1"/>
            </w14:solidFill>
          </w14:textFill>
        </w:rPr>
        <w:t>各级财政、住房和城乡建设部门应严格按照本办法规定，加强资金监督管理，</w:t>
      </w:r>
      <w:r>
        <w:rPr>
          <w:rFonts w:hint="eastAsia" w:ascii="仿宋_GB2312" w:eastAsia="仿宋_GB2312"/>
          <w:kern w:val="0"/>
          <w:sz w:val="32"/>
          <w:szCs w:val="32"/>
        </w:rPr>
        <w:t>不符合使用规定的，不予安排拨付</w:t>
      </w:r>
      <w:r>
        <w:rPr>
          <w:rFonts w:hint="eastAsia" w:ascii="仿宋_GB2312" w:eastAsia="仿宋_GB2312"/>
          <w:color w:val="000000" w:themeColor="text1"/>
          <w:kern w:val="0"/>
          <w:sz w:val="32"/>
          <w:szCs w:val="32"/>
          <w14:textFill>
            <w14:solidFill>
              <w14:schemeClr w14:val="tx1"/>
            </w14:solidFill>
          </w14:textFill>
        </w:rPr>
        <w:t>。奖补资金的筹集、使用和管理应当接受审计、财政、住房和城乡建设等部门监督，发现问题及时纠正。</w:t>
      </w:r>
    </w:p>
    <w:p>
      <w:pPr>
        <w:shd w:val="solid" w:color="FFFFFF" w:fill="auto"/>
        <w:autoSpaceDN w:val="0"/>
        <w:spacing w:line="580" w:lineRule="exact"/>
        <w:ind w:firstLine="640" w:firstLineChars="200"/>
        <w:jc w:val="left"/>
        <w:rPr>
          <w:rFonts w:ascii="仿宋_GB2312" w:hAnsi="仿宋_GB2312" w:eastAsia="仿宋_GB2312" w:cs="仿宋_GB2312"/>
          <w:sz w:val="32"/>
          <w:szCs w:val="32"/>
        </w:rPr>
      </w:pPr>
      <w:r>
        <w:rPr>
          <w:rFonts w:hint="eastAsia" w:ascii="仿宋_GB2312" w:eastAsia="仿宋_GB2312"/>
          <w:kern w:val="0"/>
          <w:sz w:val="32"/>
          <w:szCs w:val="32"/>
        </w:rPr>
        <w:t>第十五条 供热设施及管网维修、养护、更新项目，要符合有关技术标准和规范，</w:t>
      </w:r>
      <w:bookmarkStart w:id="6" w:name="_Hlk226454324"/>
      <w:r>
        <w:rPr>
          <w:rFonts w:hint="eastAsia" w:ascii="仿宋_GB2312" w:eastAsia="仿宋_GB2312"/>
          <w:kern w:val="0"/>
          <w:sz w:val="32"/>
          <w:szCs w:val="32"/>
        </w:rPr>
        <w:t>项目完工</w:t>
      </w:r>
      <w:r>
        <w:rPr>
          <w:rFonts w:hint="eastAsia" w:ascii="仿宋_GB2312" w:eastAsia="仿宋_GB2312"/>
          <w:color w:val="000000" w:themeColor="text1"/>
          <w:kern w:val="0"/>
          <w:sz w:val="32"/>
          <w:szCs w:val="32"/>
          <w14:textFill>
            <w14:solidFill>
              <w14:schemeClr w14:val="tx1"/>
            </w14:solidFill>
          </w14:textFill>
        </w:rPr>
        <w:t>验收合格</w:t>
      </w:r>
      <w:r>
        <w:rPr>
          <w:rFonts w:hint="eastAsia" w:ascii="仿宋_GB2312" w:eastAsia="仿宋_GB2312"/>
          <w:kern w:val="0"/>
          <w:sz w:val="32"/>
          <w:szCs w:val="32"/>
        </w:rPr>
        <w:t>后</w:t>
      </w:r>
      <w:bookmarkEnd w:id="6"/>
      <w:r>
        <w:rPr>
          <w:rFonts w:hint="eastAsia" w:ascii="仿宋_GB2312" w:eastAsia="仿宋_GB2312"/>
          <w:kern w:val="0"/>
          <w:sz w:val="32"/>
          <w:szCs w:val="32"/>
        </w:rPr>
        <w:t>应移交供热单位负责维修、养护、更新。</w:t>
      </w:r>
    </w:p>
    <w:p>
      <w:pPr>
        <w:shd w:val="solid" w:color="FFFFFF" w:fill="auto"/>
        <w:autoSpaceDN w:val="0"/>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移交给供热单位的设施设备以及相关管线，其维修、养护、更新等费用，依据《内蒙古自治区物业管理条例》由供热单位</w:t>
      </w:r>
      <w:r>
        <w:rPr>
          <w:rFonts w:hint="eastAsia" w:ascii="仿宋_GB2312" w:eastAsia="仿宋_GB2312"/>
          <w:color w:val="000000" w:themeColor="text1"/>
          <w:kern w:val="0"/>
          <w:sz w:val="32"/>
          <w:szCs w:val="32"/>
          <w14:textFill>
            <w14:solidFill>
              <w14:schemeClr w14:val="tx1"/>
            </w14:solidFill>
          </w14:textFill>
        </w:rPr>
        <w:t>依法</w:t>
      </w:r>
      <w:r>
        <w:rPr>
          <w:rFonts w:hint="eastAsia" w:ascii="仿宋_GB2312" w:eastAsia="仿宋_GB2312"/>
          <w:kern w:val="0"/>
          <w:sz w:val="32"/>
          <w:szCs w:val="32"/>
        </w:rPr>
        <w:t>承担，</w:t>
      </w:r>
      <w:r>
        <w:rPr>
          <w:rFonts w:hint="eastAsia" w:ascii="仿宋_GB2312" w:eastAsia="仿宋_GB2312"/>
          <w:color w:val="000000" w:themeColor="text1"/>
          <w:kern w:val="0"/>
          <w:sz w:val="32"/>
          <w:szCs w:val="32"/>
          <w14:textFill>
            <w14:solidFill>
              <w14:schemeClr w14:val="tx1"/>
            </w14:solidFill>
          </w14:textFill>
        </w:rPr>
        <w:t>尚在保修期内的，相关费用由建设单位依法承担。</w:t>
      </w:r>
    </w:p>
    <w:p>
      <w:pPr>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第十六条 城镇供热保障金必须专款专用，任何单位和个人不得截留、占用、挪用。</w:t>
      </w:r>
    </w:p>
    <w:p>
      <w:pPr>
        <w:shd w:val="solid" w:color="FFFFFF" w:fill="auto"/>
        <w:autoSpaceDN w:val="0"/>
        <w:spacing w:line="580" w:lineRule="exact"/>
        <w:ind w:firstLine="640" w:firstLineChars="200"/>
        <w:jc w:val="left"/>
        <w:rPr>
          <w:rFonts w:ascii="仿宋_GB2312" w:eastAsia="仿宋_GB2312"/>
          <w:kern w:val="0"/>
          <w:sz w:val="32"/>
          <w:szCs w:val="32"/>
        </w:rPr>
      </w:pPr>
    </w:p>
    <w:p>
      <w:pPr>
        <w:shd w:val="solid" w:color="FFFFFF" w:fill="auto"/>
        <w:autoSpaceDN w:val="0"/>
        <w:spacing w:line="580" w:lineRule="exact"/>
        <w:jc w:val="center"/>
        <w:rPr>
          <w:rFonts w:ascii="仿宋_GB2312" w:eastAsia="仿宋_GB2312"/>
          <w:kern w:val="0"/>
          <w:sz w:val="32"/>
          <w:szCs w:val="32"/>
        </w:rPr>
      </w:pPr>
      <w:r>
        <w:rPr>
          <w:rFonts w:hint="eastAsia" w:ascii="黑体" w:hAnsi="黑体" w:eastAsia="黑体"/>
          <w:kern w:val="0"/>
          <w:sz w:val="32"/>
          <w:szCs w:val="32"/>
        </w:rPr>
        <w:t xml:space="preserve">第四章 </w:t>
      </w:r>
      <w:r>
        <w:rPr>
          <w:rFonts w:ascii="黑体" w:hAnsi="黑体" w:eastAsia="黑体"/>
          <w:kern w:val="0"/>
          <w:sz w:val="32"/>
          <w:szCs w:val="32"/>
        </w:rPr>
        <w:t xml:space="preserve"> </w:t>
      </w:r>
      <w:r>
        <w:rPr>
          <w:rFonts w:hint="eastAsia" w:ascii="黑体" w:hAnsi="黑体" w:eastAsia="黑体"/>
          <w:kern w:val="0"/>
          <w:sz w:val="32"/>
          <w:szCs w:val="32"/>
        </w:rPr>
        <w:t>附则</w:t>
      </w:r>
    </w:p>
    <w:p>
      <w:pPr>
        <w:shd w:val="solid" w:color="FFFFFF" w:fill="auto"/>
        <w:autoSpaceDN w:val="0"/>
        <w:spacing w:line="580" w:lineRule="exact"/>
        <w:ind w:firstLine="640" w:firstLineChars="200"/>
        <w:jc w:val="left"/>
        <w:rPr>
          <w:rFonts w:ascii="仿宋_GB2312" w:eastAsia="仿宋_GB2312"/>
          <w:kern w:val="0"/>
          <w:sz w:val="32"/>
          <w:szCs w:val="32"/>
        </w:rPr>
      </w:pPr>
    </w:p>
    <w:p>
      <w:pPr>
        <w:shd w:val="solid" w:color="FFFFFF" w:fill="auto"/>
        <w:autoSpaceDN w:val="0"/>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第十七条 旗区可参照本办法并结合各自实际制定相应供热保障金使用管理办法。</w:t>
      </w:r>
    </w:p>
    <w:p>
      <w:pPr>
        <w:widowControl/>
        <w:shd w:val="clear" w:color="auto" w:fill="FFFFFF"/>
        <w:adjustRightInd w:val="0"/>
        <w:snapToGrid w:val="0"/>
        <w:spacing w:line="580" w:lineRule="exact"/>
        <w:ind w:firstLine="640" w:firstLineChars="200"/>
        <w:jc w:val="left"/>
        <w:rPr>
          <w:rFonts w:ascii="仿宋_GB2312" w:eastAsia="仿宋_GB2312"/>
          <w:kern w:val="0"/>
          <w:sz w:val="32"/>
          <w:szCs w:val="32"/>
        </w:rPr>
      </w:pPr>
      <w:r>
        <w:rPr>
          <w:rFonts w:hint="eastAsia" w:ascii="仿宋_GB2312" w:eastAsia="仿宋_GB2312"/>
          <w:kern w:val="0"/>
          <w:sz w:val="32"/>
          <w:szCs w:val="32"/>
        </w:rPr>
        <w:t>第十八条 本办法由市住房和城乡建设局会同市财政局负责解释。</w:t>
      </w:r>
    </w:p>
    <w:p>
      <w:pPr>
        <w:widowControl/>
        <w:shd w:val="clear" w:color="auto" w:fill="FFFFFF"/>
        <w:adjustRightInd w:val="0"/>
        <w:snapToGrid w:val="0"/>
        <w:spacing w:line="580" w:lineRule="exact"/>
        <w:ind w:firstLine="640" w:firstLineChars="200"/>
        <w:rPr>
          <w:rFonts w:ascii="仿宋_GB2312" w:eastAsia="仿宋_GB2312"/>
          <w:kern w:val="0"/>
          <w:sz w:val="32"/>
          <w:szCs w:val="32"/>
        </w:rPr>
      </w:pPr>
      <w:r>
        <w:rPr>
          <w:rFonts w:hint="eastAsia" w:ascii="仿宋_GB2312" w:eastAsia="仿宋_GB2312"/>
          <w:kern w:val="0"/>
          <w:sz w:val="32"/>
          <w:szCs w:val="32"/>
        </w:rPr>
        <w:t>第十九条 本办法自发布之日起施行，有效期</w:t>
      </w:r>
      <w:r>
        <w:rPr>
          <w:rFonts w:ascii="仿宋_GB2312" w:eastAsia="仿宋_GB2312"/>
          <w:kern w:val="0"/>
          <w:sz w:val="32"/>
          <w:szCs w:val="32"/>
        </w:rPr>
        <w:t>5</w:t>
      </w:r>
      <w:r>
        <w:rPr>
          <w:rFonts w:hint="eastAsia" w:ascii="仿宋_GB2312" w:eastAsia="仿宋_GB2312"/>
          <w:kern w:val="0"/>
          <w:sz w:val="32"/>
          <w:szCs w:val="32"/>
        </w:rPr>
        <w:t>年。</w:t>
      </w:r>
      <w:r>
        <w:rPr>
          <w:rFonts w:hint="eastAsia" w:ascii="仿宋_GB2312" w:eastAsia="仿宋_GB2312"/>
          <w:color w:val="000000" w:themeColor="text1"/>
          <w:kern w:val="0"/>
          <w:sz w:val="32"/>
          <w:szCs w:val="32"/>
          <w14:textFill>
            <w14:solidFill>
              <w14:schemeClr w14:val="tx1"/>
            </w14:solidFill>
          </w14:textFill>
        </w:rPr>
        <w:t>本办法施行后，国家、自治区另有规定的，按照有关规定执行。</w:t>
      </w:r>
      <w:r>
        <w:rPr>
          <w:rFonts w:hint="eastAsia" w:ascii="仿宋_GB2312" w:eastAsia="仿宋_GB2312"/>
          <w:kern w:val="0"/>
          <w:sz w:val="32"/>
          <w:szCs w:val="32"/>
        </w:rPr>
        <w:t>之前印发的《鄂尔多斯市城镇供热保障金筹集使用管理办法》（鄂府发〔</w:t>
      </w:r>
      <w:r>
        <w:rPr>
          <w:rFonts w:ascii="仿宋_GB2312" w:eastAsia="仿宋_GB2312"/>
          <w:kern w:val="0"/>
          <w:sz w:val="32"/>
          <w:szCs w:val="32"/>
        </w:rPr>
        <w:t>2022</w:t>
      </w:r>
      <w:r>
        <w:rPr>
          <w:rFonts w:hint="eastAsia" w:ascii="仿宋_GB2312" w:eastAsia="仿宋_GB2312"/>
          <w:kern w:val="0"/>
          <w:sz w:val="32"/>
          <w:szCs w:val="32"/>
        </w:rPr>
        <w:t>〕</w:t>
      </w:r>
      <w:r>
        <w:rPr>
          <w:rFonts w:ascii="仿宋_GB2312" w:eastAsia="仿宋_GB2312"/>
          <w:kern w:val="0"/>
          <w:sz w:val="32"/>
          <w:szCs w:val="32"/>
        </w:rPr>
        <w:t>134</w:t>
      </w:r>
      <w:r>
        <w:rPr>
          <w:rFonts w:hint="eastAsia" w:ascii="仿宋_GB2312" w:eastAsia="仿宋_GB2312"/>
          <w:kern w:val="0"/>
          <w:sz w:val="32"/>
          <w:szCs w:val="32"/>
        </w:rPr>
        <w:t>号）同时废止。</w:t>
      </w:r>
    </w:p>
    <w:sectPr>
      <w:pgSz w:w="11906" w:h="16838"/>
      <w:pgMar w:top="2098" w:right="1474" w:bottom="2098"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0" w:usb1="00000000" w:usb2="00000000" w:usb3="00000000" w:csb0="00000000" w:csb1="00000000"/>
  </w:font>
  <w:font w:name="方正小标宋简体">
    <w:panose1 w:val="02000000000000000000"/>
    <w:charset w:val="86"/>
    <w:family w:val="script"/>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oNotDisplayPageBoundaries w:val="1"/>
  <w:bordersDoNotSurroundHeader w:val="1"/>
  <w:bordersDoNotSurroundFooter w:val="1"/>
  <w:attachedTemplate r:id="rId1"/>
  <w:revisionView w:markup="0"/>
  <w:documentProtection w:edit="readOnly" w:formatting="1"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7148081E"/>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Balloon Text"/>
    <w:basedOn w:val="1"/>
    <w:link w:val="7"/>
    <w:uiPriority w:val="0"/>
    <w:rPr>
      <w:sz w:val="18"/>
      <w:szCs w:val="18"/>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批注框文本 字符"/>
    <w:link w:val="2"/>
    <w:uiPriority w:val="0"/>
    <w:rPr>
      <w:kern w:val="2"/>
      <w:sz w:val="18"/>
      <w:szCs w:val="18"/>
    </w:rPr>
  </w:style>
  <w:style w:type="character" w:customStyle="1" w:styleId="8">
    <w:name w:val="页脚 字符"/>
    <w:link w:val="3"/>
    <w:qFormat/>
    <w:uiPriority w:val="0"/>
    <w:rPr>
      <w:kern w:val="2"/>
      <w:sz w:val="18"/>
      <w:szCs w:val="18"/>
    </w:rPr>
  </w:style>
  <w:style w:type="character" w:customStyle="1" w:styleId="9">
    <w:name w:val="页眉 字符"/>
    <w:link w:val="4"/>
    <w:qFormat/>
    <w:uiPriority w:val="0"/>
    <w:rPr>
      <w:kern w:val="2"/>
      <w:sz w:val="18"/>
      <w:szCs w:val="18"/>
    </w:rPr>
  </w:style>
  <w:style w:type="paragraph" w:customStyle="1" w:styleId="10">
    <w:name w:val="列表段落1"/>
    <w:basedOn w:val="1"/>
    <w:qFormat/>
    <w:uiPriority w:val="0"/>
    <w:pPr>
      <w:ind w:firstLine="200" w:firstLineChars="200"/>
    </w:pPr>
    <w:rPr>
      <w:rFonts w:ascii="Calibri" w:hAnsi="Calibri" w:cs="Aria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Company>Microsoft China</Company>
  <Pages>4</Pages>
  <Words>228</Words>
  <Characters>1304</Characters>
  <Lines>10</Lines>
  <Paragraphs>3</Paragraphs>
  <TotalTime>0</TotalTime>
  <ScaleCrop>false</ScaleCrop>
  <LinksUpToDate>false</LinksUpToDate>
  <CharactersWithSpaces>1529</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2026-04-09T02:36:00Z</dcterms:created>
  <dc:creator>杨洋(杨洋:)</dc:creator>
  <cp:lastModifiedBy>官网(官网:发布)</cp:lastModifiedBy>
  <cp:lastPrinted>2025-07-22T07:57:00Z</cp:lastPrinted>
  <dcterms:modified xsi:type="dcterms:W3CDTF">2026-04-09T09:18:08Z</dcterms:modified>
  <dc:title>鄂尔多斯市城镇供热应急保障金</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eyJoZGlkIjoiZTZlMWU5OGQ3YTNlMDI5ZjBjMmQ1NWVhOTVmZjZlODciLCJ1c2VySWQiOiIzNDQwODg0MTkifQ==</vt:lpwstr>
  </property>
  <property fmtid="{D5CDD505-2E9C-101B-9397-08002B2CF9AE}" pid="3" name="KSOProductBuildVer">
    <vt:lpwstr>2052-10.1.0.5975</vt:lpwstr>
  </property>
  <property fmtid="{D5CDD505-2E9C-101B-9397-08002B2CF9AE}" pid="4" name="ICV">
    <vt:lpwstr>907757B63ED7432AAE9C6044E8131D6A_12</vt:lpwstr>
  </property>
</Properties>
</file>