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0" w:firstLineChars="0"/>
        <w:jc w:val="left"/>
        <w:outlineLvl w:val="9"/>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附件:1：</w:t>
      </w:r>
    </w:p>
    <w:p>
      <w:pPr>
        <w:keepNext w:val="0"/>
        <w:keepLines w:val="0"/>
        <w:pageBreakBefore w:val="0"/>
        <w:suppressAutoHyphens/>
        <w:kinsoku/>
        <w:wordWrap/>
        <w:overflowPunct/>
        <w:topLinePunct w:val="0"/>
        <w:autoSpaceDE/>
        <w:autoSpaceDN/>
        <w:bidi w:val="0"/>
        <w:adjustRightInd/>
        <w:snapToGrid/>
        <w:spacing w:line="580" w:lineRule="exact"/>
        <w:ind w:left="0" w:leftChars="0" w:right="0" w:rightChars="0" w:firstLine="0" w:firstLineChars="0"/>
        <w:jc w:val="center"/>
        <w:outlineLvl w:val="9"/>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重点监管事项清单</w:t>
      </w:r>
    </w:p>
    <w:p>
      <w:pPr>
        <w:keepNext w:val="0"/>
        <w:keepLines w:val="0"/>
        <w:pageBreakBefore w:val="0"/>
        <w:widowControl w:val="0"/>
        <w:suppressAutoHyphens/>
        <w:kinsoku/>
        <w:wordWrap/>
        <w:overflowPunct/>
        <w:topLinePunct w:val="0"/>
        <w:autoSpaceDE/>
        <w:autoSpaceDN/>
        <w:bidi w:val="0"/>
        <w:adjustRightInd/>
        <w:snapToGrid/>
        <w:spacing w:line="580" w:lineRule="exact"/>
        <w:ind w:left="0" w:leftChars="0" w:right="0" w:rightChars="0" w:firstLine="0" w:firstLineChars="0"/>
        <w:textAlignment w:val="auto"/>
        <w:outlineLvl w:val="9"/>
        <w:rPr>
          <w:rFonts w:hint="default"/>
          <w:color w:val="auto"/>
          <w:sz w:val="28"/>
          <w:szCs w:val="28"/>
          <w:lang w:val="en-US" w:eastAsia="zh"/>
        </w:rPr>
      </w:pPr>
      <w:r>
        <w:rPr>
          <w:rFonts w:hint="eastAsia"/>
          <w:color w:val="auto"/>
          <w:sz w:val="28"/>
          <w:szCs w:val="28"/>
          <w:lang w:val="en-US" w:eastAsia="zh-CN"/>
        </w:rPr>
        <w:t>单位（公章）：鄂尔多斯市住房和城乡建设局</w:t>
      </w:r>
    </w:p>
    <w:tbl>
      <w:tblPr>
        <w:tblStyle w:val="3"/>
        <w:tblW w:w="15216" w:type="dxa"/>
        <w:tblInd w:w="-44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16"/>
        <w:gridCol w:w="1117"/>
        <w:gridCol w:w="1150"/>
        <w:gridCol w:w="1183"/>
        <w:gridCol w:w="1134"/>
        <w:gridCol w:w="8333"/>
        <w:gridCol w:w="717"/>
        <w:gridCol w:w="86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trPr>
        <w:tc>
          <w:tcPr>
            <w:tcW w:w="71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default" w:ascii="黑体" w:hAnsi="宋体" w:eastAsia="黑体" w:cs="黑体"/>
                <w:i w:val="0"/>
                <w:color w:val="000000"/>
                <w:sz w:val="22"/>
                <w:szCs w:val="22"/>
                <w:u w:val="none"/>
              </w:rPr>
            </w:pPr>
            <w:r>
              <w:rPr>
                <w:rFonts w:hint="default" w:ascii="黑体" w:hAnsi="宋体" w:eastAsia="黑体" w:cs="黑体"/>
                <w:i w:val="0"/>
                <w:color w:val="000000"/>
                <w:kern w:val="0"/>
                <w:sz w:val="22"/>
                <w:szCs w:val="22"/>
                <w:u w:val="none"/>
                <w:lang w:val="en-US" w:eastAsia="zh-CN" w:bidi="ar"/>
              </w:rPr>
              <w:t>序号</w:t>
            </w:r>
          </w:p>
        </w:tc>
        <w:tc>
          <w:tcPr>
            <w:tcW w:w="2267" w:type="dxa"/>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default" w:ascii="黑体" w:hAnsi="宋体" w:eastAsia="黑体" w:cs="黑体"/>
                <w:i w:val="0"/>
                <w:color w:val="000000"/>
                <w:sz w:val="22"/>
                <w:szCs w:val="22"/>
                <w:u w:val="none"/>
              </w:rPr>
            </w:pPr>
            <w:r>
              <w:rPr>
                <w:rFonts w:hint="default" w:ascii="黑体" w:hAnsi="宋体" w:eastAsia="黑体" w:cs="黑体"/>
                <w:i w:val="0"/>
                <w:color w:val="000000"/>
                <w:kern w:val="0"/>
                <w:sz w:val="22"/>
                <w:szCs w:val="22"/>
                <w:u w:val="none"/>
                <w:lang w:val="en-US" w:eastAsia="zh-CN" w:bidi="ar"/>
              </w:rPr>
              <w:t>监管项目</w:t>
            </w:r>
          </w:p>
        </w:tc>
        <w:tc>
          <w:tcPr>
            <w:tcW w:w="118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default" w:ascii="黑体" w:hAnsi="宋体" w:eastAsia="黑体" w:cs="黑体"/>
                <w:i w:val="0"/>
                <w:color w:val="000000"/>
                <w:sz w:val="22"/>
                <w:szCs w:val="22"/>
                <w:u w:val="none"/>
              </w:rPr>
            </w:pPr>
            <w:r>
              <w:rPr>
                <w:rFonts w:hint="default" w:ascii="黑体" w:hAnsi="宋体" w:eastAsia="黑体" w:cs="黑体"/>
                <w:i w:val="0"/>
                <w:color w:val="000000"/>
                <w:kern w:val="0"/>
                <w:sz w:val="22"/>
                <w:szCs w:val="22"/>
                <w:u w:val="none"/>
                <w:lang w:val="en-US" w:eastAsia="zh-CN" w:bidi="ar"/>
              </w:rPr>
              <w:t>检查对象</w:t>
            </w:r>
          </w:p>
        </w:tc>
        <w:tc>
          <w:tcPr>
            <w:tcW w:w="1134"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default" w:ascii="黑体" w:hAnsi="宋体" w:eastAsia="黑体" w:cs="黑体"/>
                <w:i w:val="0"/>
                <w:color w:val="000000"/>
                <w:sz w:val="22"/>
                <w:szCs w:val="22"/>
                <w:u w:val="none"/>
              </w:rPr>
            </w:pPr>
            <w:r>
              <w:rPr>
                <w:rFonts w:hint="default" w:ascii="黑体" w:hAnsi="宋体" w:eastAsia="黑体" w:cs="黑体"/>
                <w:i w:val="0"/>
                <w:color w:val="000000"/>
                <w:kern w:val="0"/>
                <w:sz w:val="22"/>
                <w:szCs w:val="22"/>
                <w:u w:val="none"/>
                <w:lang w:val="en-US" w:eastAsia="zh-CN" w:bidi="ar"/>
              </w:rPr>
              <w:t>监管方式</w:t>
            </w:r>
          </w:p>
        </w:tc>
        <w:tc>
          <w:tcPr>
            <w:tcW w:w="8333"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default" w:ascii="黑体" w:hAnsi="宋体" w:eastAsia="黑体" w:cs="黑体"/>
                <w:i w:val="0"/>
                <w:color w:val="000000"/>
                <w:sz w:val="22"/>
                <w:szCs w:val="22"/>
                <w:u w:val="none"/>
              </w:rPr>
            </w:pPr>
            <w:r>
              <w:rPr>
                <w:rFonts w:hint="default" w:ascii="黑体" w:hAnsi="宋体" w:eastAsia="黑体" w:cs="黑体"/>
                <w:i w:val="0"/>
                <w:color w:val="000000"/>
                <w:kern w:val="0"/>
                <w:sz w:val="22"/>
                <w:szCs w:val="22"/>
                <w:u w:val="none"/>
                <w:lang w:val="en-US" w:eastAsia="zh-CN" w:bidi="ar"/>
              </w:rPr>
              <w:t>监管依据</w:t>
            </w:r>
          </w:p>
        </w:tc>
        <w:tc>
          <w:tcPr>
            <w:tcW w:w="717"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default" w:ascii="黑体" w:hAnsi="宋体" w:eastAsia="黑体" w:cs="黑体"/>
                <w:i w:val="0"/>
                <w:color w:val="000000"/>
                <w:sz w:val="22"/>
                <w:szCs w:val="22"/>
                <w:u w:val="none"/>
              </w:rPr>
            </w:pPr>
            <w:r>
              <w:rPr>
                <w:rFonts w:hint="default" w:ascii="黑体" w:hAnsi="宋体" w:eastAsia="黑体" w:cs="黑体"/>
                <w:i w:val="0"/>
                <w:color w:val="000000"/>
                <w:kern w:val="0"/>
                <w:sz w:val="22"/>
                <w:szCs w:val="22"/>
                <w:u w:val="none"/>
                <w:lang w:val="en-US" w:eastAsia="zh-CN" w:bidi="ar"/>
              </w:rPr>
              <w:t>监管主体</w:t>
            </w:r>
          </w:p>
        </w:tc>
        <w:tc>
          <w:tcPr>
            <w:tcW w:w="866" w:type="dxa"/>
            <w:vMerge w:val="restart"/>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default" w:ascii="黑体" w:hAnsi="宋体" w:eastAsia="黑体" w:cs="黑体"/>
                <w:i w:val="0"/>
                <w:color w:val="000000"/>
                <w:sz w:val="22"/>
                <w:szCs w:val="22"/>
                <w:u w:val="none"/>
              </w:rPr>
            </w:pPr>
            <w:r>
              <w:rPr>
                <w:rFonts w:hint="eastAsia" w:ascii="黑体" w:hAnsi="宋体" w:eastAsia="黑体" w:cs="黑体"/>
                <w:i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86" w:hRule="atLeast"/>
        </w:trPr>
        <w:tc>
          <w:tcPr>
            <w:tcW w:w="71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center"/>
              <w:outlineLvl w:val="9"/>
              <w:rPr>
                <w:rFonts w:hint="default" w:ascii="黑体" w:hAnsi="宋体" w:eastAsia="黑体" w:cs="黑体"/>
                <w:i w:val="0"/>
                <w:color w:val="000000"/>
                <w:sz w:val="22"/>
                <w:szCs w:val="22"/>
                <w:u w:val="none"/>
              </w:rPr>
            </w:pPr>
          </w:p>
        </w:tc>
        <w:tc>
          <w:tcPr>
            <w:tcW w:w="11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default" w:ascii="黑体" w:hAnsi="宋体" w:eastAsia="黑体" w:cs="黑体"/>
                <w:i w:val="0"/>
                <w:color w:val="000000"/>
                <w:sz w:val="22"/>
                <w:szCs w:val="22"/>
                <w:u w:val="none"/>
              </w:rPr>
            </w:pPr>
            <w:r>
              <w:rPr>
                <w:rFonts w:hint="default" w:ascii="黑体" w:hAnsi="宋体" w:eastAsia="黑体" w:cs="黑体"/>
                <w:i w:val="0"/>
                <w:color w:val="000000"/>
                <w:kern w:val="0"/>
                <w:sz w:val="22"/>
                <w:szCs w:val="22"/>
                <w:u w:val="none"/>
                <w:lang w:val="en-US" w:eastAsia="zh-CN" w:bidi="ar"/>
              </w:rPr>
              <w:t>监管类别</w:t>
            </w:r>
          </w:p>
        </w:tc>
        <w:tc>
          <w:tcPr>
            <w:tcW w:w="11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default" w:ascii="黑体" w:hAnsi="宋体" w:eastAsia="黑体" w:cs="黑体"/>
                <w:i w:val="0"/>
                <w:color w:val="000000"/>
                <w:sz w:val="22"/>
                <w:szCs w:val="22"/>
                <w:u w:val="none"/>
              </w:rPr>
            </w:pPr>
            <w:r>
              <w:rPr>
                <w:rFonts w:hint="default" w:ascii="黑体" w:hAnsi="宋体" w:eastAsia="黑体" w:cs="黑体"/>
                <w:i w:val="0"/>
                <w:color w:val="000000"/>
                <w:kern w:val="0"/>
                <w:sz w:val="22"/>
                <w:szCs w:val="22"/>
                <w:u w:val="none"/>
                <w:lang w:val="en-US" w:eastAsia="zh-CN" w:bidi="ar"/>
              </w:rPr>
              <w:t>监管事项</w:t>
            </w:r>
          </w:p>
        </w:tc>
        <w:tc>
          <w:tcPr>
            <w:tcW w:w="118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center"/>
              <w:outlineLvl w:val="9"/>
              <w:rPr>
                <w:rFonts w:hint="default" w:ascii="黑体" w:hAnsi="宋体" w:eastAsia="黑体" w:cs="黑体"/>
                <w:i w:val="0"/>
                <w:color w:val="000000"/>
                <w:sz w:val="22"/>
                <w:szCs w:val="22"/>
                <w:u w:val="none"/>
              </w:rPr>
            </w:pPr>
          </w:p>
        </w:tc>
        <w:tc>
          <w:tcPr>
            <w:tcW w:w="1134"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center"/>
              <w:outlineLvl w:val="9"/>
              <w:rPr>
                <w:rFonts w:hint="default" w:ascii="黑体" w:hAnsi="宋体" w:eastAsia="黑体" w:cs="黑体"/>
                <w:i w:val="0"/>
                <w:color w:val="000000"/>
                <w:sz w:val="22"/>
                <w:szCs w:val="22"/>
                <w:u w:val="none"/>
              </w:rPr>
            </w:pPr>
          </w:p>
        </w:tc>
        <w:tc>
          <w:tcPr>
            <w:tcW w:w="8333"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center"/>
              <w:outlineLvl w:val="9"/>
              <w:rPr>
                <w:rFonts w:hint="default" w:ascii="黑体" w:hAnsi="宋体" w:eastAsia="黑体" w:cs="黑体"/>
                <w:i w:val="0"/>
                <w:color w:val="000000"/>
                <w:sz w:val="22"/>
                <w:szCs w:val="22"/>
                <w:u w:val="none"/>
              </w:rPr>
            </w:pPr>
          </w:p>
        </w:tc>
        <w:tc>
          <w:tcPr>
            <w:tcW w:w="717"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center"/>
              <w:outlineLvl w:val="9"/>
              <w:rPr>
                <w:rFonts w:hint="default" w:ascii="黑体" w:hAnsi="宋体" w:eastAsia="黑体" w:cs="黑体"/>
                <w:i w:val="0"/>
                <w:color w:val="000000"/>
                <w:sz w:val="22"/>
                <w:szCs w:val="22"/>
                <w:u w:val="none"/>
              </w:rPr>
            </w:pPr>
          </w:p>
        </w:tc>
        <w:tc>
          <w:tcPr>
            <w:tcW w:w="866" w:type="dxa"/>
            <w:vMerge w:val="continue"/>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center"/>
              <w:outlineLvl w:val="9"/>
              <w:rPr>
                <w:rFonts w:hint="default" w:ascii="黑体" w:hAnsi="宋体" w:eastAsia="黑体" w:cs="黑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71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w:t>
            </w:r>
          </w:p>
        </w:tc>
        <w:tc>
          <w:tcPr>
            <w:tcW w:w="11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22"/>
                <w:szCs w:val="22"/>
                <w:u w:val="none"/>
                <w:lang w:val="en-US" w:eastAsia="zh-CN" w:bidi="ar"/>
              </w:rPr>
              <w:t>工程质量监督检查</w:t>
            </w:r>
          </w:p>
        </w:tc>
        <w:tc>
          <w:tcPr>
            <w:tcW w:w="11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22"/>
                <w:szCs w:val="22"/>
                <w:u w:val="none"/>
                <w:lang w:val="en-US" w:eastAsia="zh-CN" w:bidi="ar"/>
              </w:rPr>
              <w:t>全区房屋建筑和市政基础设施工程质量监督执法检查</w:t>
            </w:r>
          </w:p>
        </w:tc>
        <w:tc>
          <w:tcPr>
            <w:tcW w:w="118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kern w:val="0"/>
                <w:sz w:val="18"/>
                <w:szCs w:val="18"/>
                <w:u w:val="none"/>
                <w:lang w:val="en-US" w:eastAsia="zh-CN" w:bidi="ar"/>
              </w:rPr>
            </w:pPr>
            <w:r>
              <w:rPr>
                <w:rFonts w:hint="eastAsia" w:ascii="宋体" w:hAnsi="宋体" w:cs="宋体"/>
                <w:i w:val="0"/>
                <w:color w:val="000000"/>
                <w:kern w:val="0"/>
                <w:sz w:val="22"/>
                <w:szCs w:val="22"/>
                <w:u w:val="none"/>
                <w:lang w:val="en-US" w:eastAsia="zh-CN" w:bidi="ar"/>
              </w:rPr>
              <w:t>工程建设单位</w:t>
            </w:r>
          </w:p>
        </w:tc>
        <w:tc>
          <w:tcPr>
            <w:tcW w:w="11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2"/>
                <w:szCs w:val="22"/>
                <w:u w:val="none"/>
                <w:lang w:val="en-US" w:eastAsia="zh-CN" w:bidi="ar"/>
              </w:rPr>
              <w:t>现场检查、书面检查、</w:t>
            </w:r>
            <w:r>
              <w:rPr>
                <w:rFonts w:hint="eastAsia" w:ascii="宋体" w:hAnsi="宋体" w:cs="宋体"/>
                <w:i w:val="0"/>
                <w:color w:val="000000"/>
                <w:kern w:val="0"/>
                <w:sz w:val="22"/>
                <w:szCs w:val="22"/>
                <w:u w:val="none"/>
                <w:lang w:val="en-US" w:eastAsia="zh-CN" w:bidi="ar"/>
              </w:rPr>
              <w:t>抽样检验、资料审查</w:t>
            </w:r>
            <w:r>
              <w:rPr>
                <w:rFonts w:hint="eastAsia" w:ascii="宋体" w:hAnsi="宋体" w:eastAsia="宋体" w:cs="宋体"/>
                <w:i w:val="0"/>
                <w:color w:val="000000"/>
                <w:kern w:val="0"/>
                <w:sz w:val="22"/>
                <w:szCs w:val="22"/>
                <w:u w:val="none"/>
                <w:lang w:val="en-US" w:eastAsia="zh-CN" w:bidi="ar"/>
              </w:rPr>
              <w:t>等方式</w:t>
            </w:r>
          </w:p>
        </w:tc>
        <w:tc>
          <w:tcPr>
            <w:tcW w:w="8333" w:type="dxa"/>
            <w:tcBorders>
              <w:top w:val="single" w:color="000000" w:sz="4" w:space="0"/>
              <w:left w:val="single" w:color="000000" w:sz="4" w:space="0"/>
              <w:bottom w:val="single" w:color="000000" w:sz="4" w:space="0"/>
              <w:right w:val="single" w:color="000000" w:sz="4" w:space="0"/>
            </w:tcBorders>
            <w:vAlign w:val="center"/>
          </w:tcPr>
          <w:p>
            <w:pPr>
              <w:pStyle w:val="2"/>
              <w:keepNext w:val="0"/>
              <w:keepLines w:val="0"/>
              <w:widowControl/>
              <w:numPr>
                <w:ilvl w:val="0"/>
                <w:numId w:val="0"/>
              </w:numPr>
              <w:suppressLineNumbers w:val="0"/>
              <w:spacing w:line="21" w:lineRule="atLeast"/>
              <w:ind w:right="-226" w:rightChars="0"/>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一、《建设工程质量管理条例》</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第四十六条  建设工程质量监督管理，可以由建设行政主管部门或者其他有关部门委托的建设工程质量</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监督机构具体实施。</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从事房屋建筑工程和市政基础设施工程质量监督的机构，必须按照国家有关规定经国务院建设行政主管</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部门或者省、自治区、直辖市人民政府建设行政主管部门考核；从事专业建设工程质量监督的机构，</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必须按照国家有关规定经国务院有关部门或者省、自治区、直辖市人民政府有关部门考核。经考核合格</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后，方可实施质量监督。</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第四十八条 县级以上人民政府建设行政主管部门和其他有关部门履行监督检查职责时，有权采取下列</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措施：（（一）要求被检查的单位提供有关工程质量的文件和资料； （（二）进入被检查单位的施工现场进行检查；（三）发现有影响工程质量的问题时，责令改正。</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二、《中华人民共和国安全生产法》第五十六条  负有安全生产监督管理职责的部门依法对生产经营</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单位执行有关安全生产的法律、法规和国家标准或者行业标准的情况进行监督检查。</w:t>
            </w:r>
            <w:r>
              <w:rPr>
                <w:rFonts w:hint="eastAsia" w:ascii="宋体" w:hAnsi="宋体" w:cs="宋体"/>
                <w:i w:val="0"/>
                <w:color w:val="000000"/>
                <w:kern w:val="0"/>
                <w:sz w:val="18"/>
                <w:szCs w:val="18"/>
                <w:u w:val="none"/>
                <w:lang w:val="en-US" w:eastAsia="zh-CN" w:bidi="ar"/>
              </w:rPr>
              <w:br w:type="textWrapping"/>
            </w:r>
            <w:r>
              <w:rPr>
                <w:rFonts w:hint="eastAsia" w:ascii="宋体" w:hAnsi="宋体" w:cs="宋体"/>
                <w:i w:val="0"/>
                <w:color w:val="000000"/>
                <w:kern w:val="0"/>
                <w:sz w:val="18"/>
                <w:szCs w:val="18"/>
                <w:u w:val="none"/>
                <w:lang w:val="en-US" w:eastAsia="zh-CN" w:bidi="ar"/>
              </w:rPr>
              <w:t>《建设工程安全生产管理条例》（中华人民共和国国务院令第 393号，自2004年2月1日起施行）</w:t>
            </w:r>
            <w:r>
              <w:rPr>
                <w:rFonts w:hint="eastAsia" w:ascii="宋体" w:hAnsi="宋体" w:cs="宋体"/>
                <w:i w:val="0"/>
                <w:color w:val="000000"/>
                <w:kern w:val="0"/>
                <w:sz w:val="18"/>
                <w:szCs w:val="18"/>
                <w:u w:val="none"/>
                <w:lang w:val="en-US" w:eastAsia="zh-CN" w:bidi="ar"/>
              </w:rPr>
              <w:br w:type="textWrapping"/>
            </w:r>
            <w:r>
              <w:rPr>
                <w:rFonts w:hint="eastAsia" w:ascii="宋体" w:hAnsi="宋体" w:cs="宋体"/>
                <w:i w:val="0"/>
                <w:color w:val="000000"/>
                <w:kern w:val="0"/>
                <w:sz w:val="18"/>
                <w:szCs w:val="18"/>
                <w:u w:val="none"/>
                <w:lang w:val="en-US" w:eastAsia="zh-CN" w:bidi="ar"/>
              </w:rPr>
              <w:t>第四十条 国务院建设行政主管部门对全国的建设工程安全生产实施监督管理。国务院铁路、交通</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、水利等有关部门按照国务院规定的职责分工，负责有关专业建设工程安全生产的监督管理。 　　</w:t>
            </w:r>
            <w:r>
              <w:rPr>
                <w:rFonts w:hint="eastAsia" w:ascii="宋体" w:hAnsi="宋体" w:cs="宋体"/>
                <w:i w:val="0"/>
                <w:color w:val="000000"/>
                <w:kern w:val="0"/>
                <w:sz w:val="18"/>
                <w:szCs w:val="18"/>
                <w:u w:val="none"/>
                <w:lang w:val="en-US" w:eastAsia="zh-CN" w:bidi="ar"/>
              </w:rPr>
              <w:br w:type="textWrapping"/>
            </w:r>
            <w:r>
              <w:rPr>
                <w:rFonts w:hint="eastAsia" w:ascii="宋体" w:hAnsi="宋体" w:cs="宋体"/>
                <w:i w:val="0"/>
                <w:color w:val="000000"/>
                <w:kern w:val="0"/>
                <w:sz w:val="18"/>
                <w:szCs w:val="18"/>
                <w:u w:val="none"/>
                <w:lang w:val="en-US" w:eastAsia="zh-CN" w:bidi="ar"/>
              </w:rPr>
              <w:t>县级以上地方人民政府建设行政主管部门对本行政区域内的建设工程安全生产实施监督管理。县级</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以上地方人民政府交通、水利等有关部门在各自的职责范围内，负责本行政区域内的专业建设工程安</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全生产的监督管理。</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《建筑起重机械安全监督管理规定》（住建部令第166号，,自2008年6月1日起施行）</w:t>
            </w:r>
            <w:r>
              <w:rPr>
                <w:rFonts w:hint="eastAsia" w:ascii="宋体" w:hAnsi="宋体" w:cs="宋体"/>
                <w:i w:val="0"/>
                <w:color w:val="000000"/>
                <w:kern w:val="0"/>
                <w:sz w:val="18"/>
                <w:szCs w:val="18"/>
                <w:u w:val="none"/>
                <w:lang w:val="en-US" w:eastAsia="zh-CN" w:bidi="ar"/>
              </w:rPr>
              <w:br w:type="textWrapping"/>
            </w:r>
            <w:r>
              <w:rPr>
                <w:rFonts w:hint="eastAsia" w:ascii="宋体" w:hAnsi="宋体" w:cs="宋体"/>
                <w:i w:val="0"/>
                <w:color w:val="000000"/>
                <w:kern w:val="0"/>
                <w:sz w:val="18"/>
                <w:szCs w:val="18"/>
                <w:u w:val="none"/>
                <w:lang w:val="en-US" w:eastAsia="zh-CN" w:bidi="ar"/>
              </w:rPr>
              <w:t>第三条 国务院建设主管部门对全国建筑起重机械的租赁、安装、拆卸、使用实施监督管理。 县级</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以上地方人民政府建设主管部门对本行政区域内的建筑起重机械的租赁、安装、拆卸、使用实施监督</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 xml:space="preserve">管理。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400" w:lineRule="exact"/>
              <w:ind w:left="0" w:leftChars="0" w:firstLine="0" w:firstLineChars="0"/>
              <w:jc w:val="left"/>
              <w:textAlignment w:val="center"/>
              <w:rPr>
                <w:rFonts w:hint="default" w:ascii="宋体" w:hAnsi="宋体" w:cs="宋体"/>
                <w:i w:val="0"/>
                <w:color w:val="000000"/>
                <w:kern w:val="0"/>
                <w:sz w:val="18"/>
                <w:szCs w:val="18"/>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sz w:val="18"/>
                <w:szCs w:val="18"/>
                <w:u w:val="none"/>
              </w:rPr>
            </w:pPr>
            <w:r>
              <w:rPr>
                <w:rFonts w:hint="eastAsia" w:ascii="宋体" w:hAnsi="宋体" w:cs="宋体"/>
                <w:i w:val="0"/>
                <w:color w:val="000000"/>
                <w:kern w:val="0"/>
                <w:sz w:val="22"/>
                <w:szCs w:val="22"/>
                <w:u w:val="none"/>
                <w:lang w:val="en-US" w:eastAsia="zh-CN" w:bidi="ar"/>
              </w:rPr>
              <w:t>住房和城乡建设局</w:t>
            </w:r>
          </w:p>
        </w:tc>
        <w:tc>
          <w:tcPr>
            <w:tcW w:w="86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仿宋_GB2312" w:hAnsi="宋体" w:eastAsia="仿宋_GB2312" w:cs="仿宋_GB2312"/>
                <w:i w:val="0"/>
                <w:color w:val="000000"/>
                <w:sz w:val="18"/>
                <w:szCs w:val="18"/>
                <w:u w:val="none"/>
              </w:rPr>
            </w:pPr>
            <w:r>
              <w:rPr>
                <w:rFonts w:hint="eastAsia" w:ascii="宋体" w:hAnsi="宋体" w:cs="宋体"/>
                <w:i w:val="0"/>
                <w:color w:val="000000"/>
                <w:kern w:val="0"/>
                <w:sz w:val="22"/>
                <w:szCs w:val="22"/>
                <w:u w:val="none"/>
                <w:lang w:val="en-US" w:eastAsia="zh-CN" w:bidi="ar"/>
              </w:rPr>
              <w:t>全区房屋建筑和市政基础设施工程质量监督执法检查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95" w:hRule="atLeast"/>
        </w:trPr>
        <w:tc>
          <w:tcPr>
            <w:tcW w:w="71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eastAsia" w:ascii="宋体" w:hAnsi="宋体" w:eastAsia="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2</w:t>
            </w:r>
          </w:p>
        </w:tc>
        <w:tc>
          <w:tcPr>
            <w:tcW w:w="11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left"/>
              <w:outlineLvl w:val="9"/>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sz w:val="22"/>
                <w:szCs w:val="22"/>
                <w:u w:val="none"/>
                <w:lang w:val="en-US" w:eastAsia="zh-CN"/>
              </w:rPr>
              <w:t>燃气经营生产监管</w:t>
            </w:r>
          </w:p>
        </w:tc>
        <w:tc>
          <w:tcPr>
            <w:tcW w:w="115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jc w:val="left"/>
              <w:outlineLvl w:val="9"/>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sz w:val="22"/>
                <w:szCs w:val="22"/>
                <w:u w:val="none"/>
                <w:lang w:val="en-US" w:eastAsia="zh-CN"/>
              </w:rPr>
              <w:t>对燃气企业安全运行监督执法检查</w:t>
            </w:r>
          </w:p>
        </w:tc>
        <w:tc>
          <w:tcPr>
            <w:tcW w:w="1183"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left"/>
              <w:textAlignment w:val="center"/>
              <w:outlineLvl w:val="9"/>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燃气企业</w:t>
            </w:r>
          </w:p>
        </w:tc>
        <w:tc>
          <w:tcPr>
            <w:tcW w:w="113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left"/>
              <w:textAlignment w:val="center"/>
              <w:outlineLvl w:val="9"/>
              <w:rPr>
                <w:rFonts w:hint="eastAsia" w:ascii="宋体" w:hAnsi="宋体" w:eastAsia="宋体" w:cs="宋体"/>
                <w:i w:val="0"/>
                <w:color w:val="000000"/>
                <w:kern w:val="0"/>
                <w:sz w:val="22"/>
                <w:szCs w:val="22"/>
                <w:u w:val="none"/>
                <w:lang w:val="en-US" w:eastAsia="zh-CN" w:bidi="ar"/>
              </w:rPr>
            </w:pPr>
            <w:r>
              <w:rPr>
                <w:rFonts w:hint="eastAsia" w:ascii="宋体" w:hAnsi="宋体" w:eastAsia="宋体" w:cs="宋体"/>
                <w:i w:val="0"/>
                <w:color w:val="000000"/>
                <w:kern w:val="0"/>
                <w:sz w:val="22"/>
                <w:szCs w:val="22"/>
                <w:u w:val="none"/>
                <w:lang w:val="en-US" w:eastAsia="zh-CN" w:bidi="ar"/>
              </w:rPr>
              <w:t>现场检查、书面检查</w:t>
            </w:r>
            <w:r>
              <w:rPr>
                <w:rFonts w:hint="eastAsia" w:ascii="宋体" w:hAnsi="宋体" w:cs="宋体"/>
                <w:i w:val="0"/>
                <w:color w:val="000000"/>
                <w:kern w:val="0"/>
                <w:sz w:val="22"/>
                <w:szCs w:val="22"/>
                <w:u w:val="none"/>
                <w:lang w:val="en-US" w:eastAsia="zh-CN" w:bidi="ar"/>
              </w:rPr>
              <w:t>、资料审查</w:t>
            </w:r>
            <w:r>
              <w:rPr>
                <w:rFonts w:hint="eastAsia" w:ascii="宋体" w:hAnsi="宋体" w:eastAsia="宋体" w:cs="宋体"/>
                <w:i w:val="0"/>
                <w:color w:val="000000"/>
                <w:kern w:val="0"/>
                <w:sz w:val="22"/>
                <w:szCs w:val="22"/>
                <w:u w:val="none"/>
                <w:lang w:val="en-US" w:eastAsia="zh-CN" w:bidi="ar"/>
              </w:rPr>
              <w:t>等方式</w:t>
            </w:r>
          </w:p>
        </w:tc>
        <w:tc>
          <w:tcPr>
            <w:tcW w:w="8333" w:type="dxa"/>
            <w:tcBorders>
              <w:top w:val="single" w:color="000000" w:sz="4" w:space="0"/>
              <w:left w:val="single" w:color="000000" w:sz="4" w:space="0"/>
              <w:bottom w:val="single" w:color="000000" w:sz="4" w:space="0"/>
              <w:right w:val="single" w:color="000000" w:sz="4" w:space="0"/>
            </w:tcBorders>
            <w:vAlign w:val="center"/>
          </w:tcPr>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《城镇燃气管理条例》（中华人民共和国</w:t>
            </w:r>
            <w:bookmarkStart w:id="0" w:name="_GoBack"/>
            <w:bookmarkEnd w:id="0"/>
            <w:r>
              <w:rPr>
                <w:rFonts w:hint="eastAsia" w:ascii="宋体" w:hAnsi="宋体" w:cs="宋体"/>
                <w:i w:val="0"/>
                <w:color w:val="000000"/>
                <w:kern w:val="0"/>
                <w:sz w:val="18"/>
                <w:szCs w:val="18"/>
                <w:u w:val="none"/>
                <w:lang w:val="en-US" w:eastAsia="zh-CN" w:bidi="ar"/>
              </w:rPr>
              <w:t>国务院令 第583号）</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第五条国务院建设主管部门负责全国的燃气管理工作。</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县级以上地方人民政府燃气管理部门负责本行政区域内的燃气管理工作。</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第四十一条 燃气经营者应当建立健全燃气安全评估和风险管理体系，发现燃气安全事故隐患的，应当</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 xml:space="preserve">及时采取措施消除隐患。 </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燃气管理部门以及其他有关部门和单位应当根据各自职责，对燃气经营、燃气使用的安全状况等进行监</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督检查，发现燃气安全事故隐患的，应当通知燃气经营者、燃气用户及时采取措施消除隐患；不及时消</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除隐患可能严重威胁公共安全的，燃气管理部门以及其他有关部门和单位应当依法采取措施，及时组织</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消除隐患，有关单位和个人应当予以配合。</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《内蒙古自治区燃气管理条例》（2007年9月29日内蒙古自治区第十届人民代表大会常务委员会第三</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十次会议通过</w:t>
            </w:r>
            <w:r>
              <w:rPr>
                <w:rFonts w:hint="eastAsia" w:ascii="宋体" w:hAnsi="宋体" w:cs="宋体"/>
                <w:i w:val="0"/>
                <w:color w:val="000000"/>
                <w:kern w:val="0"/>
                <w:sz w:val="18"/>
                <w:szCs w:val="18"/>
                <w:u w:val="none"/>
                <w:lang w:val="en" w:eastAsia="zh-CN" w:bidi="ar"/>
              </w:rPr>
              <w:t xml:space="preserve">  </w:t>
            </w:r>
            <w:r>
              <w:rPr>
                <w:rFonts w:hint="eastAsia" w:ascii="宋体" w:hAnsi="宋体" w:cs="宋体"/>
                <w:i w:val="0"/>
                <w:color w:val="000000"/>
                <w:kern w:val="0"/>
                <w:sz w:val="18"/>
                <w:szCs w:val="18"/>
                <w:u w:val="none"/>
                <w:lang w:val="en-US" w:eastAsia="zh-CN" w:bidi="ar"/>
              </w:rPr>
              <w:t>2022年3月29日内蒙古自治区第十三届人民代表大会常务委员会第三十四次会议修订）</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第五条  旗县级以上人民政府燃气管理部门负责本行政区域内的燃气管理工作。</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第六条  旗县级以上人民政府燃气管理部门应当加强燃气行业信息化建设，建立健全燃气监督管理制度</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和燃气基础设施数据库，对燃气经营者进行监督检查，督促燃气经营者落实对燃气用户的安全服务</w:t>
            </w:r>
          </w:p>
          <w:p>
            <w:pPr>
              <w:pStyle w:val="2"/>
              <w:keepNext w:val="0"/>
              <w:keepLines w:val="0"/>
              <w:widowControl/>
              <w:suppressLineNumbers w:val="0"/>
              <w:spacing w:line="21" w:lineRule="atLeast"/>
              <w:ind w:right="-226"/>
              <w:jc w:val="left"/>
              <w:rPr>
                <w:rFonts w:hint="eastAsia" w:ascii="宋体" w:hAnsi="宋体" w:cs="宋体"/>
                <w:i w:val="0"/>
                <w:color w:val="000000"/>
                <w:kern w:val="0"/>
                <w:sz w:val="18"/>
                <w:szCs w:val="18"/>
                <w:u w:val="none"/>
                <w:lang w:val="en-US" w:eastAsia="zh-CN" w:bidi="ar"/>
              </w:rPr>
            </w:pPr>
            <w:r>
              <w:rPr>
                <w:rFonts w:hint="eastAsia" w:ascii="宋体" w:hAnsi="宋体" w:cs="宋体"/>
                <w:i w:val="0"/>
                <w:color w:val="000000"/>
                <w:kern w:val="0"/>
                <w:sz w:val="18"/>
                <w:szCs w:val="18"/>
                <w:u w:val="none"/>
                <w:lang w:val="en-US" w:eastAsia="zh-CN" w:bidi="ar"/>
              </w:rPr>
              <w:t>责任;对燃气经营者从事生产经营活动的情况进行评价。</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80" w:lineRule="exact"/>
              <w:ind w:left="0" w:leftChars="0" w:right="0" w:rightChars="0" w:firstLine="0" w:firstLineChars="0"/>
              <w:jc w:val="left"/>
              <w:textAlignment w:val="center"/>
              <w:outlineLvl w:val="9"/>
              <w:rPr>
                <w:rFonts w:hint="default" w:ascii="宋体" w:hAnsi="宋体" w:cs="宋体"/>
                <w:i w:val="0"/>
                <w:color w:val="000000"/>
                <w:kern w:val="0"/>
                <w:sz w:val="22"/>
                <w:szCs w:val="22"/>
                <w:u w:val="none"/>
                <w:lang w:val="en-US" w:eastAsia="zh-CN" w:bidi="ar"/>
              </w:rPr>
            </w:pPr>
          </w:p>
        </w:tc>
        <w:tc>
          <w:tcPr>
            <w:tcW w:w="71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580" w:lineRule="exact"/>
              <w:ind w:left="0" w:leftChars="0" w:right="0" w:rightChars="0" w:firstLine="0" w:firstLineChars="0"/>
              <w:jc w:val="center"/>
              <w:textAlignment w:val="center"/>
              <w:outlineLvl w:val="9"/>
              <w:rPr>
                <w:rFonts w:hint="eastAsia" w:ascii="仿宋" w:hAnsi="仿宋" w:eastAsia="仿宋" w:cs="仿宋"/>
                <w:b/>
                <w:bCs/>
                <w:sz w:val="18"/>
                <w:szCs w:val="18"/>
                <w:vertAlign w:val="baseline"/>
                <w:lang w:eastAsia="zh-CN"/>
              </w:rPr>
            </w:pPr>
            <w:r>
              <w:rPr>
                <w:rFonts w:hint="eastAsia" w:ascii="宋体" w:hAnsi="宋体" w:cs="宋体"/>
                <w:i w:val="0"/>
                <w:color w:val="000000"/>
                <w:kern w:val="0"/>
                <w:sz w:val="22"/>
                <w:szCs w:val="22"/>
                <w:u w:val="none"/>
                <w:lang w:val="en-US" w:eastAsia="zh-CN" w:bidi="ar"/>
              </w:rPr>
              <w:t>住房和城乡建设局</w:t>
            </w:r>
          </w:p>
        </w:tc>
        <w:tc>
          <w:tcPr>
            <w:tcW w:w="866"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spacing w:line="580" w:lineRule="exact"/>
              <w:ind w:left="0" w:leftChars="0" w:right="0" w:rightChars="0" w:firstLine="0" w:firstLineChars="0"/>
              <w:outlineLvl w:val="9"/>
              <w:rPr>
                <w:rFonts w:hint="eastAsia" w:ascii="仿宋_GB2312" w:hAnsi="宋体" w:eastAsia="仿宋_GB2312" w:cs="仿宋_GB2312"/>
                <w:i w:val="0"/>
                <w:color w:val="000000"/>
                <w:sz w:val="22"/>
                <w:szCs w:val="22"/>
                <w:u w:val="none"/>
              </w:rPr>
            </w:pPr>
          </w:p>
        </w:tc>
      </w:tr>
    </w:tbl>
    <w:p>
      <w:pPr>
        <w:keepNext w:val="0"/>
        <w:keepLines w:val="0"/>
        <w:pageBreakBefore w:val="0"/>
        <w:kinsoku/>
        <w:wordWrap/>
        <w:overflowPunct/>
        <w:topLinePunct w:val="0"/>
        <w:autoSpaceDE/>
        <w:autoSpaceDN/>
        <w:bidi w:val="0"/>
        <w:adjustRightInd/>
        <w:snapToGrid/>
        <w:spacing w:line="580" w:lineRule="exact"/>
        <w:ind w:left="0" w:leftChars="0" w:right="0" w:rightChars="0" w:firstLine="0" w:firstLineChars="0"/>
        <w:outlineLvl w:val="9"/>
      </w:pPr>
    </w:p>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kMGE5MWNmYjQ3ZTE3ZjZlNDE1ZjQyODRkZTBlZjcifQ=="/>
  </w:docVars>
  <w:rsids>
    <w:rsidRoot w:val="20965B56"/>
    <w:rsid w:val="20965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0" w:after="150"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2023-04-04T07:27:00Z</dcterms:created>
  <dc:creator>梁梁</dc:creator>
  <cp:lastModifiedBy>梁梁</cp:lastModifiedBy>
  <dcterms:modified xsi:type="dcterms:W3CDTF">2023-04-04T07:28:36Z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CE223740E3274C1C8D731F90C03496C8_11</vt:lpwstr>
  </property>
</Properties>
</file>