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9231" w14:textId="77777777" w:rsidR="00E42A5E" w:rsidRDefault="004674DD">
      <w:pPr>
        <w:spacing w:line="440" w:lineRule="exact"/>
        <w:jc w:val="center"/>
        <w:rPr>
          <w:rFonts w:ascii="方正小标宋简体" w:eastAsia="方正小标宋简体" w:hAnsi="宋体" w:cs="宋体"/>
          <w:sz w:val="44"/>
          <w:szCs w:val="44"/>
          <w:shd w:val="clear" w:color="auto" w:fill="FFFFFF"/>
        </w:rPr>
      </w:pPr>
      <w:r>
        <w:rPr>
          <w:rFonts w:ascii="方正小标宋简体" w:eastAsia="方正小标宋简体" w:hAnsi="宋体" w:cs="宋体" w:hint="eastAsia"/>
          <w:sz w:val="44"/>
          <w:szCs w:val="44"/>
          <w:shd w:val="clear" w:color="auto" w:fill="FFFFFF"/>
        </w:rPr>
        <w:t>2021年建筑施工领域起重机械“双随机、一公开 ”部门联合检查结果公示表</w:t>
      </w:r>
    </w:p>
    <w:tbl>
      <w:tblPr>
        <w:tblStyle w:val="aa"/>
        <w:tblW w:w="0" w:type="auto"/>
        <w:tblLayout w:type="fixed"/>
        <w:tblLook w:val="04A0" w:firstRow="1" w:lastRow="0" w:firstColumn="1" w:lastColumn="0" w:noHBand="0" w:noVBand="1"/>
      </w:tblPr>
      <w:tblGrid>
        <w:gridCol w:w="562"/>
        <w:gridCol w:w="1701"/>
        <w:gridCol w:w="1985"/>
        <w:gridCol w:w="5386"/>
        <w:gridCol w:w="2977"/>
        <w:gridCol w:w="992"/>
      </w:tblGrid>
      <w:tr w:rsidR="00E42A5E" w14:paraId="72157EE7" w14:textId="77777777">
        <w:tc>
          <w:tcPr>
            <w:tcW w:w="562" w:type="dxa"/>
            <w:vAlign w:val="center"/>
          </w:tcPr>
          <w:p w14:paraId="6CCC41B5" w14:textId="77777777" w:rsidR="00E42A5E" w:rsidRDefault="004674DD">
            <w:pPr>
              <w:spacing w:line="420" w:lineRule="exact"/>
              <w:jc w:val="center"/>
              <w:rPr>
                <w:rFonts w:ascii="方正仿宋_GBK" w:eastAsia="方正仿宋_GBK"/>
                <w:kern w:val="0"/>
                <w:sz w:val="28"/>
                <w:szCs w:val="28"/>
                <w:shd w:val="clear" w:color="auto" w:fill="FFFFFF"/>
              </w:rPr>
            </w:pPr>
            <w:r>
              <w:rPr>
                <w:rFonts w:ascii="方正仿宋_GBK" w:eastAsia="方正仿宋_GBK" w:hint="eastAsia"/>
                <w:kern w:val="0"/>
                <w:sz w:val="28"/>
                <w:szCs w:val="28"/>
                <w:shd w:val="clear" w:color="auto" w:fill="FFFFFF"/>
              </w:rPr>
              <w:t>序号</w:t>
            </w:r>
          </w:p>
        </w:tc>
        <w:tc>
          <w:tcPr>
            <w:tcW w:w="1701" w:type="dxa"/>
          </w:tcPr>
          <w:p w14:paraId="7301A9C6" w14:textId="77777777" w:rsidR="00E42A5E" w:rsidRDefault="004674DD">
            <w:pPr>
              <w:spacing w:line="420" w:lineRule="exact"/>
              <w:jc w:val="center"/>
              <w:rPr>
                <w:rFonts w:ascii="方正仿宋_GBK" w:eastAsia="方正仿宋_GBK"/>
                <w:kern w:val="0"/>
                <w:sz w:val="28"/>
                <w:szCs w:val="28"/>
                <w:shd w:val="clear" w:color="auto" w:fill="FFFFFF"/>
              </w:rPr>
            </w:pPr>
            <w:r>
              <w:rPr>
                <w:rFonts w:ascii="方正仿宋_GBK" w:eastAsia="方正仿宋_GBK" w:hint="eastAsia"/>
                <w:kern w:val="0"/>
                <w:sz w:val="28"/>
                <w:szCs w:val="28"/>
              </w:rPr>
              <w:t>抽查监管对象名称</w:t>
            </w:r>
          </w:p>
        </w:tc>
        <w:tc>
          <w:tcPr>
            <w:tcW w:w="1985" w:type="dxa"/>
          </w:tcPr>
          <w:p w14:paraId="21DAF5DC" w14:textId="77777777" w:rsidR="00E42A5E" w:rsidRDefault="004674DD">
            <w:pPr>
              <w:spacing w:line="420" w:lineRule="exact"/>
              <w:jc w:val="center"/>
              <w:rPr>
                <w:rFonts w:ascii="方正仿宋_GBK" w:eastAsia="方正仿宋_GBK"/>
                <w:kern w:val="0"/>
                <w:sz w:val="28"/>
                <w:szCs w:val="28"/>
                <w:shd w:val="clear" w:color="auto" w:fill="FFFFFF"/>
              </w:rPr>
            </w:pPr>
            <w:r>
              <w:rPr>
                <w:rFonts w:ascii="方正仿宋_GBK" w:eastAsia="方正仿宋_GBK" w:hint="eastAsia"/>
                <w:kern w:val="0"/>
                <w:sz w:val="28"/>
                <w:szCs w:val="28"/>
              </w:rPr>
              <w:t>统一社会信用代码</w:t>
            </w:r>
          </w:p>
        </w:tc>
        <w:tc>
          <w:tcPr>
            <w:tcW w:w="5386" w:type="dxa"/>
            <w:vAlign w:val="center"/>
          </w:tcPr>
          <w:p w14:paraId="6816C62C" w14:textId="77777777" w:rsidR="00E42A5E" w:rsidRDefault="004674DD">
            <w:pPr>
              <w:spacing w:line="420" w:lineRule="exact"/>
              <w:jc w:val="center"/>
              <w:rPr>
                <w:rFonts w:ascii="方正仿宋_GBK" w:eastAsia="方正仿宋_GBK"/>
                <w:kern w:val="0"/>
                <w:sz w:val="28"/>
                <w:szCs w:val="28"/>
                <w:shd w:val="clear" w:color="auto" w:fill="FFFFFF"/>
              </w:rPr>
            </w:pPr>
            <w:r>
              <w:rPr>
                <w:rFonts w:ascii="方正仿宋_GBK" w:eastAsia="方正仿宋_GBK" w:hint="eastAsia"/>
                <w:kern w:val="0"/>
                <w:sz w:val="28"/>
                <w:szCs w:val="28"/>
              </w:rPr>
              <w:t>抽查内容</w:t>
            </w:r>
          </w:p>
        </w:tc>
        <w:tc>
          <w:tcPr>
            <w:tcW w:w="2977" w:type="dxa"/>
            <w:vAlign w:val="center"/>
          </w:tcPr>
          <w:p w14:paraId="4CBD6A3D" w14:textId="77777777" w:rsidR="00E42A5E" w:rsidRDefault="004674DD">
            <w:pPr>
              <w:spacing w:line="420" w:lineRule="exact"/>
              <w:jc w:val="center"/>
              <w:rPr>
                <w:rFonts w:ascii="方正仿宋_GBK" w:eastAsia="方正仿宋_GBK"/>
                <w:kern w:val="0"/>
                <w:sz w:val="28"/>
                <w:szCs w:val="28"/>
                <w:shd w:val="clear" w:color="auto" w:fill="FFFFFF"/>
              </w:rPr>
            </w:pPr>
            <w:r>
              <w:rPr>
                <w:rFonts w:ascii="方正仿宋_GBK" w:eastAsia="方正仿宋_GBK" w:hint="eastAsia"/>
                <w:kern w:val="0"/>
                <w:sz w:val="28"/>
                <w:szCs w:val="28"/>
                <w:shd w:val="clear" w:color="auto" w:fill="FFFFFF"/>
              </w:rPr>
              <w:t>抽查结果</w:t>
            </w:r>
          </w:p>
        </w:tc>
        <w:tc>
          <w:tcPr>
            <w:tcW w:w="992" w:type="dxa"/>
          </w:tcPr>
          <w:p w14:paraId="19A1815A" w14:textId="77777777" w:rsidR="00E42A5E" w:rsidRDefault="004674DD">
            <w:pPr>
              <w:spacing w:line="420" w:lineRule="exact"/>
              <w:jc w:val="center"/>
              <w:rPr>
                <w:rFonts w:ascii="方正仿宋_GBK" w:eastAsia="方正仿宋_GBK"/>
                <w:kern w:val="0"/>
                <w:sz w:val="28"/>
                <w:szCs w:val="28"/>
                <w:shd w:val="clear" w:color="auto" w:fill="FFFFFF"/>
              </w:rPr>
            </w:pPr>
            <w:r>
              <w:rPr>
                <w:rFonts w:ascii="方正仿宋_GBK" w:eastAsia="方正仿宋_GBK" w:hint="eastAsia"/>
                <w:kern w:val="0"/>
                <w:sz w:val="28"/>
                <w:szCs w:val="28"/>
                <w:shd w:val="clear" w:color="auto" w:fill="FFFFFF"/>
              </w:rPr>
              <w:t>整改</w:t>
            </w:r>
          </w:p>
          <w:p w14:paraId="63EC0F58" w14:textId="77777777" w:rsidR="00E42A5E" w:rsidRDefault="004674DD">
            <w:pPr>
              <w:spacing w:line="420" w:lineRule="exact"/>
              <w:jc w:val="center"/>
              <w:rPr>
                <w:rFonts w:ascii="方正仿宋_GBK" w:eastAsia="方正仿宋_GBK"/>
                <w:kern w:val="0"/>
                <w:sz w:val="28"/>
                <w:szCs w:val="28"/>
                <w:shd w:val="clear" w:color="auto" w:fill="FFFFFF"/>
              </w:rPr>
            </w:pPr>
            <w:r>
              <w:rPr>
                <w:rFonts w:ascii="方正仿宋_GBK" w:eastAsia="方正仿宋_GBK" w:hint="eastAsia"/>
                <w:kern w:val="0"/>
                <w:sz w:val="28"/>
                <w:szCs w:val="28"/>
                <w:shd w:val="clear" w:color="auto" w:fill="FFFFFF"/>
              </w:rPr>
              <w:t>情况</w:t>
            </w:r>
          </w:p>
        </w:tc>
      </w:tr>
      <w:tr w:rsidR="00E42A5E" w14:paraId="71683BFE" w14:textId="77777777">
        <w:trPr>
          <w:trHeight w:val="1408"/>
        </w:trPr>
        <w:tc>
          <w:tcPr>
            <w:tcW w:w="562" w:type="dxa"/>
            <w:vAlign w:val="center"/>
          </w:tcPr>
          <w:p w14:paraId="3DB25F40"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1</w:t>
            </w:r>
          </w:p>
        </w:tc>
        <w:tc>
          <w:tcPr>
            <w:tcW w:w="1701" w:type="dxa"/>
            <w:vAlign w:val="center"/>
          </w:tcPr>
          <w:p w14:paraId="7EFCF37C"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鄂尔多斯市云晟市政工程有限公司</w:t>
            </w:r>
          </w:p>
        </w:tc>
        <w:tc>
          <w:tcPr>
            <w:tcW w:w="1985" w:type="dxa"/>
            <w:vAlign w:val="center"/>
          </w:tcPr>
          <w:p w14:paraId="4915E910"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91150621585152949E</w:t>
            </w:r>
          </w:p>
        </w:tc>
        <w:tc>
          <w:tcPr>
            <w:tcW w:w="5386" w:type="dxa"/>
            <w:vMerge w:val="restart"/>
          </w:tcPr>
          <w:p w14:paraId="689ADEF4"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int="eastAsia"/>
                <w:kern w:val="0"/>
                <w:sz w:val="28"/>
                <w:szCs w:val="28"/>
              </w:rPr>
              <w:t>一、市住房和城乡建设局抽查内容：</w:t>
            </w:r>
            <w:r>
              <w:rPr>
                <w:rFonts w:ascii="方正仿宋_GBK" w:eastAsia="方正仿宋_GBK" w:hint="eastAsia"/>
                <w:kern w:val="0"/>
                <w:sz w:val="28"/>
                <w:szCs w:val="28"/>
              </w:rPr>
              <w:br/>
              <w:t>1、建筑起重机械使用登记、定期检查、维护保养、应急救援预案等制度的执行情况。</w:t>
            </w:r>
            <w:r>
              <w:rPr>
                <w:rFonts w:ascii="方正仿宋_GBK" w:eastAsia="方正仿宋_GBK" w:hint="eastAsia"/>
                <w:kern w:val="0"/>
                <w:sz w:val="28"/>
                <w:szCs w:val="28"/>
              </w:rPr>
              <w:br/>
              <w:t>2、司机和信号司索工是否持有建设行政主管部门核发的建筑施工特种作业操作资格证。</w:t>
            </w:r>
            <w:r>
              <w:rPr>
                <w:rFonts w:ascii="方正仿宋_GBK" w:eastAsia="方正仿宋_GBK" w:hint="eastAsia"/>
                <w:kern w:val="0"/>
                <w:sz w:val="28"/>
                <w:szCs w:val="28"/>
              </w:rPr>
              <w:br/>
              <w:t>3、是否结合建筑起重机械使用说明书的相关要求和施工现场周边作业环境，由专业技术人员负责编制建筑起重机械安装、顶升(包括加节、附墙)、拆卸的专项施工方案，方案是否经本单位技术负责人审批，需专家论证的是否按有关规定要求组织专家进行证，建筑起重机械安装、顶升(包括加节、附墙)、拆卸作业前，施工总承包、监理单位是否认真审查安装单位的相应资质以及特种作业人员的劳动合同、社保证明、特种作业资格证等相关资料，并参与对施工作业人员的技术交底。</w:t>
            </w:r>
            <w:r>
              <w:rPr>
                <w:rFonts w:ascii="方正仿宋_GBK" w:eastAsia="方正仿宋_GBK" w:hint="eastAsia"/>
                <w:kern w:val="0"/>
                <w:sz w:val="28"/>
                <w:szCs w:val="28"/>
              </w:rPr>
              <w:br/>
            </w:r>
            <w:r>
              <w:rPr>
                <w:rFonts w:ascii="方正仿宋_GBK" w:eastAsia="方正仿宋_GBK" w:hint="eastAsia"/>
                <w:kern w:val="0"/>
                <w:sz w:val="28"/>
                <w:szCs w:val="28"/>
              </w:rPr>
              <w:lastRenderedPageBreak/>
              <w:t>4 、建筑起重机械主要受力部位(塔机标准节连接套处、爬爪和爬爪座、汽车起重机起重臂油缸支撑处、施工升降机悬臂端标准节连接处等)、设备基础、连接部位、安全保护装置、附墙装置的完好性情况；标准节和附着装置是否由原制造厂家制造。</w:t>
            </w:r>
            <w:r>
              <w:rPr>
                <w:rFonts w:ascii="方正仿宋_GBK" w:eastAsia="方正仿宋_GBK" w:hint="eastAsia"/>
                <w:kern w:val="0"/>
                <w:sz w:val="28"/>
                <w:szCs w:val="28"/>
              </w:rPr>
              <w:br/>
              <w:t>5 、起重机械的超载保护等安全装置必须具有有效的型式试验合格证书。</w:t>
            </w:r>
            <w:r>
              <w:rPr>
                <w:rFonts w:ascii="方正仿宋_GBK" w:eastAsia="方正仿宋_GBK" w:hint="eastAsia"/>
                <w:kern w:val="0"/>
                <w:sz w:val="28"/>
                <w:szCs w:val="28"/>
              </w:rPr>
              <w:br/>
              <w:t>二、市市场监督管理局抽查内容：</w:t>
            </w:r>
            <w:r>
              <w:rPr>
                <w:rFonts w:ascii="方正仿宋_GBK" w:eastAsia="方正仿宋_GBK" w:hint="eastAsia"/>
                <w:kern w:val="0"/>
                <w:sz w:val="28"/>
                <w:szCs w:val="28"/>
              </w:rPr>
              <w:br/>
              <w:t>按照《中华人民共和国特种设备安全法》实施检查。</w:t>
            </w:r>
            <w:r>
              <w:rPr>
                <w:rFonts w:ascii="方正仿宋_GBK" w:eastAsia="方正仿宋_GBK" w:hint="eastAsia"/>
                <w:kern w:val="0"/>
                <w:sz w:val="28"/>
                <w:szCs w:val="28"/>
              </w:rPr>
              <w:br/>
              <w:t>三、市应急局抽查内容：</w:t>
            </w:r>
            <w:r>
              <w:rPr>
                <w:rFonts w:ascii="方正仿宋_GBK" w:eastAsia="方正仿宋_GBK" w:hint="eastAsia"/>
                <w:kern w:val="0"/>
                <w:sz w:val="28"/>
                <w:szCs w:val="28"/>
              </w:rPr>
              <w:br/>
              <w:t>1 、检查电工作业， 焊接与热切割作业，高处作业等特种作业人持证上岗情况。</w:t>
            </w:r>
            <w:r>
              <w:rPr>
                <w:rFonts w:ascii="方正仿宋_GBK" w:eastAsia="方正仿宋_GBK" w:hint="eastAsia"/>
                <w:kern w:val="0"/>
                <w:sz w:val="28"/>
                <w:szCs w:val="28"/>
              </w:rPr>
              <w:br/>
              <w:t>2 、检查企业应急预案编制、备案情况。</w:t>
            </w:r>
          </w:p>
        </w:tc>
        <w:tc>
          <w:tcPr>
            <w:tcW w:w="2977" w:type="dxa"/>
          </w:tcPr>
          <w:p w14:paraId="1868362C"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lastRenderedPageBreak/>
              <w:t>1、塔吊基础周边垃圾应及时清理并设排水措施；</w:t>
            </w:r>
          </w:p>
          <w:p w14:paraId="70F2EF4D"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2、塔吊吊钩钢丝绳须更换。</w:t>
            </w:r>
          </w:p>
        </w:tc>
        <w:tc>
          <w:tcPr>
            <w:tcW w:w="992" w:type="dxa"/>
          </w:tcPr>
          <w:p w14:paraId="32D35B74"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Ansi="微软雅黑" w:hint="eastAsia"/>
                <w:color w:val="333333"/>
                <w:kern w:val="0"/>
                <w:sz w:val="28"/>
                <w:szCs w:val="28"/>
              </w:rPr>
              <w:t>限期完成整改</w:t>
            </w:r>
          </w:p>
        </w:tc>
      </w:tr>
      <w:tr w:rsidR="00E42A5E" w14:paraId="23BEAD06" w14:textId="77777777">
        <w:trPr>
          <w:trHeight w:val="2404"/>
        </w:trPr>
        <w:tc>
          <w:tcPr>
            <w:tcW w:w="562" w:type="dxa"/>
            <w:vAlign w:val="center"/>
          </w:tcPr>
          <w:p w14:paraId="46D26AB8"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2</w:t>
            </w:r>
          </w:p>
        </w:tc>
        <w:tc>
          <w:tcPr>
            <w:tcW w:w="1701" w:type="dxa"/>
            <w:vAlign w:val="center"/>
          </w:tcPr>
          <w:p w14:paraId="115500F8"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伊金霍洛旗宜佳建筑安装工程有限责任公司</w:t>
            </w:r>
          </w:p>
        </w:tc>
        <w:tc>
          <w:tcPr>
            <w:tcW w:w="1985" w:type="dxa"/>
            <w:vAlign w:val="center"/>
          </w:tcPr>
          <w:p w14:paraId="0512E1B2"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91150627680028292T</w:t>
            </w:r>
          </w:p>
        </w:tc>
        <w:tc>
          <w:tcPr>
            <w:tcW w:w="5386" w:type="dxa"/>
            <w:vMerge/>
          </w:tcPr>
          <w:p w14:paraId="40691499" w14:textId="77777777" w:rsidR="00E42A5E" w:rsidRDefault="00E42A5E">
            <w:pPr>
              <w:spacing w:line="420" w:lineRule="exact"/>
              <w:rPr>
                <w:rFonts w:ascii="方正仿宋_GBK" w:eastAsia="方正仿宋_GBK" w:hAnsi="宋体" w:cs="宋体"/>
                <w:kern w:val="0"/>
                <w:sz w:val="28"/>
                <w:szCs w:val="28"/>
                <w:shd w:val="clear" w:color="auto" w:fill="FFFFFF"/>
              </w:rPr>
            </w:pPr>
          </w:p>
        </w:tc>
        <w:tc>
          <w:tcPr>
            <w:tcW w:w="2977" w:type="dxa"/>
          </w:tcPr>
          <w:p w14:paraId="1A480E7F"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1、塔吊基础积水坑垃圾应及时清理；</w:t>
            </w:r>
          </w:p>
          <w:p w14:paraId="5960DA9A"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2、塔吊周期检查记录内容填写不详细。</w:t>
            </w:r>
          </w:p>
        </w:tc>
        <w:tc>
          <w:tcPr>
            <w:tcW w:w="992" w:type="dxa"/>
          </w:tcPr>
          <w:p w14:paraId="73AF362F"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Ansi="微软雅黑" w:hint="eastAsia"/>
                <w:color w:val="333333"/>
                <w:kern w:val="0"/>
                <w:sz w:val="28"/>
                <w:szCs w:val="28"/>
              </w:rPr>
              <w:t>限期完成整改</w:t>
            </w:r>
          </w:p>
        </w:tc>
      </w:tr>
      <w:tr w:rsidR="00E42A5E" w14:paraId="47AAB0F7" w14:textId="77777777">
        <w:tc>
          <w:tcPr>
            <w:tcW w:w="562" w:type="dxa"/>
            <w:vAlign w:val="center"/>
          </w:tcPr>
          <w:p w14:paraId="65009412"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3</w:t>
            </w:r>
          </w:p>
        </w:tc>
        <w:tc>
          <w:tcPr>
            <w:tcW w:w="1701" w:type="dxa"/>
            <w:vAlign w:val="center"/>
          </w:tcPr>
          <w:p w14:paraId="623D6F06"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内蒙古巨博建设工程有限责任公司</w:t>
            </w:r>
          </w:p>
        </w:tc>
        <w:tc>
          <w:tcPr>
            <w:tcW w:w="1985" w:type="dxa"/>
            <w:vAlign w:val="center"/>
          </w:tcPr>
          <w:p w14:paraId="69D91603"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91150602MA13R3U753</w:t>
            </w:r>
          </w:p>
        </w:tc>
        <w:tc>
          <w:tcPr>
            <w:tcW w:w="5386" w:type="dxa"/>
            <w:vMerge/>
          </w:tcPr>
          <w:p w14:paraId="482E7351" w14:textId="77777777" w:rsidR="00E42A5E" w:rsidRDefault="00E42A5E">
            <w:pPr>
              <w:spacing w:line="420" w:lineRule="exact"/>
              <w:rPr>
                <w:rFonts w:ascii="方正仿宋_GBK" w:eastAsia="方正仿宋_GBK" w:hAnsi="宋体" w:cs="宋体"/>
                <w:kern w:val="0"/>
                <w:sz w:val="28"/>
                <w:szCs w:val="28"/>
                <w:shd w:val="clear" w:color="auto" w:fill="FFFFFF"/>
              </w:rPr>
            </w:pPr>
          </w:p>
        </w:tc>
        <w:tc>
          <w:tcPr>
            <w:tcW w:w="2977" w:type="dxa"/>
          </w:tcPr>
          <w:p w14:paraId="390AB86D"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未发现开展本次抽查涉及的经营活动。</w:t>
            </w:r>
          </w:p>
          <w:p w14:paraId="6B520ACE"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备注：该企业承建康巴什区左岸公园32#幼儿园项目，该项目为三层框架结构，建筑面积小，体积低，未使用建筑起重机械。</w:t>
            </w:r>
          </w:p>
        </w:tc>
        <w:tc>
          <w:tcPr>
            <w:tcW w:w="992" w:type="dxa"/>
          </w:tcPr>
          <w:p w14:paraId="45757F8A"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无</w:t>
            </w:r>
          </w:p>
        </w:tc>
      </w:tr>
      <w:tr w:rsidR="00E42A5E" w14:paraId="04424D47" w14:textId="77777777">
        <w:trPr>
          <w:trHeight w:val="3324"/>
        </w:trPr>
        <w:tc>
          <w:tcPr>
            <w:tcW w:w="562" w:type="dxa"/>
            <w:vAlign w:val="center"/>
          </w:tcPr>
          <w:p w14:paraId="7A53D9C8"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lastRenderedPageBreak/>
              <w:t>4</w:t>
            </w:r>
          </w:p>
        </w:tc>
        <w:tc>
          <w:tcPr>
            <w:tcW w:w="1701" w:type="dxa"/>
            <w:vAlign w:val="center"/>
          </w:tcPr>
          <w:p w14:paraId="7DD6B6A1"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鄂尔多斯市兴达建筑工程有限责任公司</w:t>
            </w:r>
          </w:p>
        </w:tc>
        <w:tc>
          <w:tcPr>
            <w:tcW w:w="1985" w:type="dxa"/>
            <w:vAlign w:val="center"/>
          </w:tcPr>
          <w:p w14:paraId="31292AC3"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91150621747931022C</w:t>
            </w:r>
          </w:p>
        </w:tc>
        <w:tc>
          <w:tcPr>
            <w:tcW w:w="5386" w:type="dxa"/>
            <w:vMerge/>
          </w:tcPr>
          <w:p w14:paraId="135A4074" w14:textId="77777777" w:rsidR="00E42A5E" w:rsidRDefault="00E42A5E">
            <w:pPr>
              <w:spacing w:line="420" w:lineRule="exact"/>
              <w:rPr>
                <w:rFonts w:ascii="方正仿宋_GBK" w:eastAsia="方正仿宋_GBK" w:hAnsi="宋体" w:cs="宋体"/>
                <w:kern w:val="0"/>
                <w:sz w:val="28"/>
                <w:szCs w:val="28"/>
                <w:shd w:val="clear" w:color="auto" w:fill="FFFFFF"/>
              </w:rPr>
            </w:pPr>
          </w:p>
        </w:tc>
        <w:tc>
          <w:tcPr>
            <w:tcW w:w="2977" w:type="dxa"/>
          </w:tcPr>
          <w:p w14:paraId="08674BCE"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1、塔吊动力用电开关箱与照明开关箱串连；</w:t>
            </w:r>
          </w:p>
          <w:p w14:paraId="7DD3D102"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2、塔吊安装自检记录垂直度数据不准确。</w:t>
            </w:r>
          </w:p>
        </w:tc>
        <w:tc>
          <w:tcPr>
            <w:tcW w:w="992" w:type="dxa"/>
          </w:tcPr>
          <w:p w14:paraId="42063C40"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微软雅黑" w:hint="eastAsia"/>
                <w:color w:val="333333"/>
                <w:kern w:val="0"/>
                <w:sz w:val="28"/>
                <w:szCs w:val="28"/>
              </w:rPr>
              <w:t>限期完成整改</w:t>
            </w:r>
          </w:p>
        </w:tc>
      </w:tr>
      <w:tr w:rsidR="00E42A5E" w14:paraId="5C05BF20" w14:textId="77777777">
        <w:tc>
          <w:tcPr>
            <w:tcW w:w="562" w:type="dxa"/>
            <w:vAlign w:val="center"/>
          </w:tcPr>
          <w:p w14:paraId="7E9B5117"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5</w:t>
            </w:r>
          </w:p>
        </w:tc>
        <w:tc>
          <w:tcPr>
            <w:tcW w:w="1701" w:type="dxa"/>
            <w:vAlign w:val="center"/>
          </w:tcPr>
          <w:p w14:paraId="2782D751"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内蒙古胜威建设集团有限公司</w:t>
            </w:r>
          </w:p>
        </w:tc>
        <w:tc>
          <w:tcPr>
            <w:tcW w:w="1985" w:type="dxa"/>
            <w:vAlign w:val="center"/>
          </w:tcPr>
          <w:p w14:paraId="618B10EC"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911502001141217089</w:t>
            </w:r>
          </w:p>
        </w:tc>
        <w:tc>
          <w:tcPr>
            <w:tcW w:w="5386" w:type="dxa"/>
            <w:vMerge/>
          </w:tcPr>
          <w:p w14:paraId="2F15070D" w14:textId="77777777" w:rsidR="00E42A5E" w:rsidRDefault="00E42A5E">
            <w:pPr>
              <w:spacing w:line="420" w:lineRule="exact"/>
              <w:rPr>
                <w:rFonts w:ascii="方正仿宋_GBK" w:eastAsia="方正仿宋_GBK" w:hAnsi="宋体" w:cs="宋体"/>
                <w:kern w:val="0"/>
                <w:sz w:val="28"/>
                <w:szCs w:val="28"/>
                <w:shd w:val="clear" w:color="auto" w:fill="FFFFFF"/>
              </w:rPr>
            </w:pPr>
          </w:p>
        </w:tc>
        <w:tc>
          <w:tcPr>
            <w:tcW w:w="2977" w:type="dxa"/>
          </w:tcPr>
          <w:p w14:paraId="54BC44FB"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1、塔吊安全操作规程牌应悬挂在醒目位置；</w:t>
            </w:r>
          </w:p>
          <w:p w14:paraId="55AF210E"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2、吊钩吊索钢丝绳须更换。</w:t>
            </w:r>
          </w:p>
        </w:tc>
        <w:tc>
          <w:tcPr>
            <w:tcW w:w="992" w:type="dxa"/>
          </w:tcPr>
          <w:p w14:paraId="3A94080D"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微软雅黑" w:hint="eastAsia"/>
                <w:color w:val="333333"/>
                <w:kern w:val="0"/>
                <w:sz w:val="28"/>
                <w:szCs w:val="28"/>
              </w:rPr>
              <w:t>限期完成整改</w:t>
            </w:r>
          </w:p>
        </w:tc>
      </w:tr>
      <w:tr w:rsidR="00E42A5E" w14:paraId="7E5C9E05" w14:textId="77777777">
        <w:tc>
          <w:tcPr>
            <w:tcW w:w="562" w:type="dxa"/>
            <w:vAlign w:val="center"/>
          </w:tcPr>
          <w:p w14:paraId="638217BF"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6</w:t>
            </w:r>
          </w:p>
        </w:tc>
        <w:tc>
          <w:tcPr>
            <w:tcW w:w="1701" w:type="dxa"/>
            <w:vAlign w:val="center"/>
          </w:tcPr>
          <w:p w14:paraId="10D5F486"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包头市第四建筑有限责任公司</w:t>
            </w:r>
          </w:p>
        </w:tc>
        <w:tc>
          <w:tcPr>
            <w:tcW w:w="1985" w:type="dxa"/>
            <w:vAlign w:val="center"/>
          </w:tcPr>
          <w:p w14:paraId="7B126F00" w14:textId="77777777" w:rsidR="00E42A5E" w:rsidRDefault="004674DD">
            <w:pPr>
              <w:spacing w:line="420" w:lineRule="exact"/>
              <w:rPr>
                <w:rFonts w:ascii="方正仿宋_GBK" w:eastAsia="方正仿宋_GBK"/>
                <w:color w:val="000000"/>
                <w:kern w:val="0"/>
                <w:sz w:val="28"/>
                <w:szCs w:val="28"/>
              </w:rPr>
            </w:pPr>
            <w:r>
              <w:rPr>
                <w:rFonts w:ascii="方正仿宋_GBK" w:eastAsia="方正仿宋_GBK" w:hint="eastAsia"/>
                <w:color w:val="000000"/>
                <w:kern w:val="0"/>
                <w:sz w:val="28"/>
                <w:szCs w:val="28"/>
              </w:rPr>
              <w:t>91150200114392313N</w:t>
            </w:r>
          </w:p>
        </w:tc>
        <w:tc>
          <w:tcPr>
            <w:tcW w:w="5386" w:type="dxa"/>
            <w:vMerge/>
          </w:tcPr>
          <w:p w14:paraId="0D39474B" w14:textId="77777777" w:rsidR="00E42A5E" w:rsidRDefault="00E42A5E">
            <w:pPr>
              <w:spacing w:line="420" w:lineRule="exact"/>
              <w:rPr>
                <w:rFonts w:ascii="方正仿宋_GBK" w:eastAsia="方正仿宋_GBK" w:hAnsi="宋体" w:cs="宋体"/>
                <w:kern w:val="0"/>
                <w:sz w:val="28"/>
                <w:szCs w:val="28"/>
                <w:shd w:val="clear" w:color="auto" w:fill="FFFFFF"/>
              </w:rPr>
            </w:pPr>
          </w:p>
        </w:tc>
        <w:tc>
          <w:tcPr>
            <w:tcW w:w="2977" w:type="dxa"/>
          </w:tcPr>
          <w:p w14:paraId="6970B820"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1、塔吊基础无积水坑；</w:t>
            </w:r>
          </w:p>
          <w:p w14:paraId="24548017"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2、未设定机械</w:t>
            </w:r>
            <w:r>
              <w:rPr>
                <w:rFonts w:ascii="方正仿宋_GBK" w:eastAsia="方正仿宋_GBK" w:hAnsi="宋体" w:cs="宋体"/>
                <w:kern w:val="0"/>
                <w:sz w:val="28"/>
                <w:szCs w:val="28"/>
                <w:shd w:val="clear" w:color="auto" w:fill="FFFFFF"/>
              </w:rPr>
              <w:t>管理人员</w:t>
            </w:r>
            <w:r>
              <w:rPr>
                <w:rFonts w:ascii="方正仿宋_GBK" w:eastAsia="方正仿宋_GBK" w:hAnsi="宋体" w:cs="宋体" w:hint="eastAsia"/>
                <w:kern w:val="0"/>
                <w:sz w:val="28"/>
                <w:szCs w:val="28"/>
                <w:shd w:val="clear" w:color="auto" w:fill="FFFFFF"/>
              </w:rPr>
              <w:t>；</w:t>
            </w:r>
          </w:p>
          <w:p w14:paraId="58C2AB60" w14:textId="77777777" w:rsidR="00E42A5E" w:rsidRDefault="004674DD">
            <w:pPr>
              <w:spacing w:line="420" w:lineRule="exact"/>
              <w:rPr>
                <w:rFonts w:ascii="方正仿宋_GBK" w:eastAsia="方正仿宋_GBK" w:hAnsi="宋体" w:cs="宋体"/>
                <w:kern w:val="0"/>
                <w:sz w:val="28"/>
                <w:szCs w:val="28"/>
                <w:shd w:val="clear" w:color="auto" w:fill="FFFFFF"/>
              </w:rPr>
            </w:pPr>
            <w:r>
              <w:rPr>
                <w:rFonts w:ascii="方正仿宋_GBK" w:eastAsia="方正仿宋_GBK" w:hAnsi="宋体" w:cs="宋体" w:hint="eastAsia"/>
                <w:kern w:val="0"/>
                <w:sz w:val="28"/>
                <w:szCs w:val="28"/>
                <w:shd w:val="clear" w:color="auto" w:fill="FFFFFF"/>
              </w:rPr>
              <w:t>3、人员安全教育落实不到位。</w:t>
            </w:r>
          </w:p>
        </w:tc>
        <w:tc>
          <w:tcPr>
            <w:tcW w:w="992" w:type="dxa"/>
          </w:tcPr>
          <w:p w14:paraId="3F35647B" w14:textId="77777777" w:rsidR="00E42A5E" w:rsidRDefault="004674DD">
            <w:pPr>
              <w:spacing w:line="420" w:lineRule="exact"/>
              <w:rPr>
                <w:rFonts w:ascii="方正仿宋_GBK" w:eastAsia="方正仿宋_GBK" w:hAnsi="微软雅黑"/>
                <w:color w:val="333333"/>
                <w:kern w:val="0"/>
                <w:sz w:val="28"/>
                <w:szCs w:val="28"/>
              </w:rPr>
            </w:pPr>
            <w:r>
              <w:rPr>
                <w:rFonts w:ascii="方正仿宋_GBK" w:eastAsia="方正仿宋_GBK" w:hAnsi="微软雅黑" w:hint="eastAsia"/>
                <w:color w:val="333333"/>
                <w:kern w:val="0"/>
                <w:sz w:val="28"/>
                <w:szCs w:val="28"/>
              </w:rPr>
              <w:t>限期完成整改</w:t>
            </w:r>
          </w:p>
        </w:tc>
      </w:tr>
    </w:tbl>
    <w:p w14:paraId="42270FC4" w14:textId="77777777" w:rsidR="00E42A5E" w:rsidRDefault="00E42A5E">
      <w:pPr>
        <w:spacing w:line="560" w:lineRule="exact"/>
        <w:rPr>
          <w:rFonts w:ascii="方正小标宋_GBK" w:eastAsia="方正小标宋_GBK" w:hAnsi="宋体" w:cs="宋体"/>
          <w:sz w:val="44"/>
          <w:szCs w:val="44"/>
          <w:shd w:val="clear" w:color="auto" w:fill="FFFFFF"/>
        </w:rPr>
      </w:pPr>
    </w:p>
    <w:sectPr w:rsidR="00E42A5E">
      <w:pgSz w:w="16838" w:h="11906" w:orient="landscape"/>
      <w:pgMar w:top="1134" w:right="1440" w:bottom="1134"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224C" w14:textId="77777777" w:rsidR="007549F2" w:rsidRDefault="007549F2" w:rsidP="00927657">
      <w:r>
        <w:separator/>
      </w:r>
    </w:p>
  </w:endnote>
  <w:endnote w:type="continuationSeparator" w:id="0">
    <w:p w14:paraId="3B93FB13" w14:textId="77777777" w:rsidR="007549F2" w:rsidRDefault="007549F2" w:rsidP="0092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1C82" w14:textId="77777777" w:rsidR="007549F2" w:rsidRDefault="007549F2" w:rsidP="00927657">
      <w:r>
        <w:separator/>
      </w:r>
    </w:p>
  </w:footnote>
  <w:footnote w:type="continuationSeparator" w:id="0">
    <w:p w14:paraId="26642934" w14:textId="77777777" w:rsidR="007549F2" w:rsidRDefault="007549F2" w:rsidP="0092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269A3"/>
    <w:multiLevelType w:val="singleLevel"/>
    <w:tmpl w:val="677269A3"/>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D9"/>
    <w:rsid w:val="0002630B"/>
    <w:rsid w:val="0006086A"/>
    <w:rsid w:val="00072A79"/>
    <w:rsid w:val="00080B7C"/>
    <w:rsid w:val="00092B16"/>
    <w:rsid w:val="000F404A"/>
    <w:rsid w:val="000F5B0A"/>
    <w:rsid w:val="00123245"/>
    <w:rsid w:val="001D7FF1"/>
    <w:rsid w:val="002144FD"/>
    <w:rsid w:val="0022075F"/>
    <w:rsid w:val="002F02A6"/>
    <w:rsid w:val="00312309"/>
    <w:rsid w:val="003A7705"/>
    <w:rsid w:val="003F3A60"/>
    <w:rsid w:val="004674DD"/>
    <w:rsid w:val="004726FE"/>
    <w:rsid w:val="00474326"/>
    <w:rsid w:val="004B0ED9"/>
    <w:rsid w:val="004D33CC"/>
    <w:rsid w:val="00524C69"/>
    <w:rsid w:val="005472CD"/>
    <w:rsid w:val="00635767"/>
    <w:rsid w:val="00742AE3"/>
    <w:rsid w:val="007549F2"/>
    <w:rsid w:val="007554AA"/>
    <w:rsid w:val="007A5220"/>
    <w:rsid w:val="007B4E0C"/>
    <w:rsid w:val="007C2786"/>
    <w:rsid w:val="008B2DE3"/>
    <w:rsid w:val="008D13E3"/>
    <w:rsid w:val="008F0025"/>
    <w:rsid w:val="00921E4A"/>
    <w:rsid w:val="00927657"/>
    <w:rsid w:val="00946E01"/>
    <w:rsid w:val="009E128B"/>
    <w:rsid w:val="00A7756C"/>
    <w:rsid w:val="00AB7FE0"/>
    <w:rsid w:val="00AE4E3E"/>
    <w:rsid w:val="00B54453"/>
    <w:rsid w:val="00BC4212"/>
    <w:rsid w:val="00BE2F84"/>
    <w:rsid w:val="00BE59D4"/>
    <w:rsid w:val="00C671D1"/>
    <w:rsid w:val="00C92F6C"/>
    <w:rsid w:val="00CB1E38"/>
    <w:rsid w:val="00E42A5E"/>
    <w:rsid w:val="00F20BFB"/>
    <w:rsid w:val="01E2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88A5B"/>
  <w15:docId w15:val="{04AA4875-8BAF-435C-8062-58913884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TotalTime>
  <Pages>2</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钱成(钱成:)</dc:creator>
  <cp:lastModifiedBy>张 宇庭</cp:lastModifiedBy>
  <cp:revision>2</cp:revision>
  <cp:lastPrinted>2021-11-03T08:23:00Z</cp:lastPrinted>
  <dcterms:created xsi:type="dcterms:W3CDTF">2021-11-16T08:43:00Z</dcterms:created>
  <dcterms:modified xsi:type="dcterms:W3CDTF">2021-11-16T08:43:00Z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5917536F3D4D4F71AD663CB45DCF719F</vt:lpwstr>
  </property>
</Properties>
</file>